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9AA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jc w:val="center"/>
        <w:textAlignment w:val="auto"/>
        <w:rPr>
          <w:rFonts w:hint="eastAsia" w:asciiTheme="minorEastAsia" w:hAnsiTheme="minorEastAsia" w:eastAsiaTheme="minorEastAsia" w:cstheme="minorEastAsia"/>
          <w:b/>
          <w:bCs/>
          <w:i w:val="0"/>
          <w:iCs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kern w:val="0"/>
          <w:sz w:val="32"/>
          <w:szCs w:val="32"/>
          <w:highlight w:val="none"/>
          <w:shd w:val="clear" w:fill="FFFFFF"/>
          <w:lang w:val="en-US" w:eastAsia="zh-CN" w:bidi="ar"/>
          <w14:textFill>
            <w14:solidFill>
              <w14:schemeClr w14:val="tx1"/>
            </w14:solidFill>
          </w14:textFill>
        </w:rPr>
        <w:t>龙岩市第三医院排污监测项目</w:t>
      </w:r>
    </w:p>
    <w:p w14:paraId="0602EA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jc w:val="center"/>
        <w:textAlignment w:val="auto"/>
        <w:rPr>
          <w:rFonts w:hint="eastAsia" w:asciiTheme="minorEastAsia" w:hAnsiTheme="minorEastAsia" w:eastAsiaTheme="minorEastAsia" w:cstheme="minorEastAsia"/>
          <w:b/>
          <w:bCs/>
          <w:i w:val="0"/>
          <w:iCs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kern w:val="0"/>
          <w:sz w:val="32"/>
          <w:szCs w:val="32"/>
          <w:highlight w:val="none"/>
          <w:shd w:val="clear" w:fill="FFFFFF"/>
          <w:lang w:val="en-US" w:eastAsia="zh-CN" w:bidi="ar"/>
          <w14:textFill>
            <w14:solidFill>
              <w14:schemeClr w14:val="tx1"/>
            </w14:solidFill>
          </w14:textFill>
        </w:rPr>
        <w:t>网络竞价公告</w:t>
      </w:r>
    </w:p>
    <w:p w14:paraId="626907B6">
      <w:pPr>
        <w:keepNext w:val="0"/>
        <w:keepLines w:val="0"/>
        <w:pageBreakBefore w:val="0"/>
        <w:widowControl/>
        <w:shd w:val="clear" w:color="auto" w:fill="FFFFFF"/>
        <w:kinsoku/>
        <w:overflowPunct/>
        <w:topLinePunct w:val="0"/>
        <w:bidi w:val="0"/>
        <w:spacing w:line="360" w:lineRule="auto"/>
        <w:ind w:right="200" w:firstLine="480" w:firstLineChars="200"/>
        <w:jc w:val="center"/>
        <w:textAlignment w:val="auto"/>
        <w:rPr>
          <w:rFonts w:hint="eastAsia" w:asciiTheme="minorEastAsia" w:hAnsiTheme="minorEastAsia" w:eastAsiaTheme="minorEastAsia" w:cstheme="minorEastAsia"/>
          <w:color w:val="000000" w:themeColor="text1"/>
          <w:kern w:val="0"/>
          <w:sz w:val="24"/>
          <w:szCs w:val="24"/>
          <w:highlight w:val="none"/>
          <w:shd w:val="clear" w:color="auto" w:fill="FFFFFF"/>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shd w:val="clear" w:color="auto" w:fill="FFFFFF"/>
          <w:lang w:val="en-US" w:eastAsia="zh-CN"/>
          <w14:textFill>
            <w14:solidFill>
              <w14:schemeClr w14:val="tx1"/>
            </w14:solidFill>
          </w14:textFill>
        </w:rPr>
        <w:t>    项目编号：FJLYCGJJ2026184</w:t>
      </w:r>
    </w:p>
    <w:p w14:paraId="16D46F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both"/>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 </w:t>
      </w:r>
    </w:p>
    <w:p w14:paraId="44FA1712">
      <w:pPr>
        <w:keepNext w:val="0"/>
        <w:keepLines w:val="0"/>
        <w:pageBreakBefore w:val="0"/>
        <w:widowControl/>
        <w:shd w:val="clear" w:color="auto" w:fill="FFFFFF"/>
        <w:kinsoku/>
        <w:overflowPunct/>
        <w:topLinePunct w:val="0"/>
        <w:bidi w:val="0"/>
        <w:spacing w:line="360" w:lineRule="auto"/>
        <w:ind w:right="200" w:firstLine="480" w:firstLineChars="200"/>
        <w:jc w:val="both"/>
        <w:textAlignment w:val="auto"/>
        <w:rPr>
          <w:rFonts w:hint="eastAsia" w:asciiTheme="minorEastAsia" w:hAnsiTheme="minorEastAsia" w:eastAsiaTheme="minorEastAsia" w:cstheme="minorEastAsia"/>
          <w:color w:val="000000" w:themeColor="text1"/>
          <w:kern w:val="0"/>
          <w:sz w:val="24"/>
          <w:szCs w:val="24"/>
          <w:highlight w:val="none"/>
          <w:shd w:val="clear" w:color="auto" w:fill="FFFFFF"/>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shd w:val="clear" w:color="auto" w:fill="FFFFFF"/>
          <w:lang w:val="en-US" w:eastAsia="zh-CN"/>
          <w14:textFill>
            <w14:solidFill>
              <w14:schemeClr w14:val="tx1"/>
            </w14:solidFill>
          </w14:textFill>
        </w:rPr>
        <w:t>受龙岩市第三医院委托，龙岩市公物采购招标代理有限公司在龙岩国资阳光交易平台（网址：http://lyygjyfw.etrading.cn/）对以下采购内容进行公开网络竞价，本项目系统竞价报价及上传材料时间以本公告左下侧要求的时间为准：</w:t>
      </w:r>
    </w:p>
    <w:p w14:paraId="7CB2C6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480" w:firstLineChars="200"/>
        <w:jc w:val="both"/>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p>
    <w:p w14:paraId="44FCEE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both"/>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一、竞价基本内容及要求</w:t>
      </w:r>
    </w:p>
    <w:p w14:paraId="54EDF2B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both"/>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（一）项目概况（采购标的）</w:t>
      </w:r>
    </w:p>
    <w:p w14:paraId="759C5F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720" w:firstLineChars="30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w:t>
      </w:r>
      <w:r>
        <w:rPr>
          <w:rFonts w:hint="eastAsia" w:asciiTheme="minorEastAsia" w:hAnsi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两年</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最高限价：</w:t>
      </w:r>
      <w:r>
        <w:rPr>
          <w:rFonts w:hint="eastAsia" w:ascii="宋体" w:hAnsi="宋体" w:eastAsia="宋体" w:cs="宋体"/>
          <w:color w:val="000000" w:themeColor="text1"/>
          <w:kern w:val="0"/>
          <w:sz w:val="24"/>
          <w:highlight w:val="none"/>
          <w:lang w:val="en-US" w:eastAsia="zh-CN" w:bidi="ar"/>
          <w14:textFill>
            <w14:solidFill>
              <w14:schemeClr w14:val="tx1"/>
            </w14:solidFill>
          </w14:textFill>
        </w:rPr>
        <w:t>90000</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元</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，供应商报价不得高于最高限价。</w:t>
      </w:r>
    </w:p>
    <w:p w14:paraId="3961D6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720" w:firstLineChars="300"/>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2.成交原则：在实质性响应竞价采购文件的前提下，</w:t>
      </w: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2年合计</w:t>
      </w: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报价</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最低者即为成交供应商。</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如出现两个或两个以上</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报价</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相同的，则按报价时间优先的原则确定成交候选供应商。</w:t>
      </w:r>
    </w:p>
    <w:p w14:paraId="499BE8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720" w:firstLineChars="300"/>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供应商应完全满足</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本竞价文件</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中的所有要求，</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任意</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一项不满足视为无效竞价。</w:t>
      </w:r>
    </w:p>
    <w:p w14:paraId="24FBACF3">
      <w:pPr>
        <w:pStyle w:val="6"/>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p w14:paraId="34DE9EE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both"/>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（二）基本资格条件：</w:t>
      </w:r>
    </w:p>
    <w:p w14:paraId="63C4BF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1.具有独立承担民事责任的能力;</w:t>
      </w:r>
    </w:p>
    <w:p w14:paraId="0EA53D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2.具有良好的商业信誉和健全的财务会计制度;</w:t>
      </w:r>
    </w:p>
    <w:p w14:paraId="5B1527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3.具有履行合同所必需的设备和专业技术能力;</w:t>
      </w:r>
    </w:p>
    <w:p w14:paraId="2CFDFD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4.有依法缴纳税收和社会保障资金的良好记录;</w:t>
      </w:r>
    </w:p>
    <w:p w14:paraId="7972BE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5.参加采购活动前三年内，在经营活动中没有重大违法记录；</w:t>
      </w:r>
    </w:p>
    <w:p w14:paraId="0D1251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6.法律、行政法规规定的其他条件。</w:t>
      </w:r>
    </w:p>
    <w:p w14:paraId="39520A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7.本项目不允许分包、转包，不接受联合体参与竞价。</w:t>
      </w:r>
    </w:p>
    <w:p w14:paraId="2DA8CB18">
      <w:pPr>
        <w:pStyle w:val="17"/>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7B3904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二</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、供应商须提供的材料（竞价</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时将所有</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材料</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加盖公章扫描</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统一</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制作</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成一</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整</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份PDF</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格式文档</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上传</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至竞价附件（</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要求：真实、有效、清晰</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val="en-US" w:eastAsia="zh-CN"/>
          <w14:textFill>
            <w14:solidFill>
              <w14:schemeClr w14:val="tx1"/>
            </w14:solidFill>
          </w14:textFill>
        </w:rPr>
        <w:t>未按要求编制上传或上传材料不齐的，视为未实质性满足竞价文件，竞价无效。</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w:t>
      </w:r>
    </w:p>
    <w:p w14:paraId="3EA57E6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480"/>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有效的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营业执照</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扫描</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件</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及</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单位负责人</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身份证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扫描件。</w:t>
      </w:r>
    </w:p>
    <w:p w14:paraId="2F07D8B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48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单位负责人授权书（若有，</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详见</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附件2</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格式，</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非单位负责人参加时提供）</w:t>
      </w:r>
    </w:p>
    <w:p w14:paraId="46E5E1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480"/>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报价表。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（详见格式）</w:t>
      </w:r>
    </w:p>
    <w:p w14:paraId="572421A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480"/>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响应承诺函</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。（详见格式）</w:t>
      </w:r>
    </w:p>
    <w:p w14:paraId="6B40292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480"/>
        <w:textAlignment w:val="auto"/>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▲5.须提供国家行业主管部门颁发的检验检测机构资质认定证书扫描件。</w:t>
      </w:r>
    </w:p>
    <w:p w14:paraId="1D462F7D">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both"/>
        <w:textAlignment w:val="auto"/>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技术和</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val="en-US" w:eastAsia="zh-CN"/>
          <w14:textFill>
            <w14:solidFill>
              <w14:schemeClr w14:val="tx1"/>
            </w14:solidFill>
          </w14:textFill>
        </w:rPr>
        <w:t>商务</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要求</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val="en-US" w:eastAsia="zh-CN"/>
          <w14:textFill>
            <w14:solidFill>
              <w14:schemeClr w14:val="tx1"/>
            </w14:solidFill>
          </w14:textFill>
        </w:rPr>
        <w:t>(以下内容不允许负偏离）</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w:t>
      </w:r>
    </w:p>
    <w:p w14:paraId="342071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left"/>
        <w:textAlignment w:val="auto"/>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一）采购一览表：</w:t>
      </w:r>
    </w:p>
    <w:tbl>
      <w:tblPr>
        <w:tblStyle w:val="12"/>
        <w:tblpPr w:leftFromText="180" w:rightFromText="180" w:vertAnchor="text" w:horzAnchor="margin" w:tblpX="-668" w:tblpY="92"/>
        <w:tblW w:w="993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07"/>
        <w:gridCol w:w="2893"/>
        <w:gridCol w:w="2894"/>
        <w:gridCol w:w="2840"/>
      </w:tblGrid>
      <w:tr w14:paraId="29CACC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94" w:hRule="atLeast"/>
        </w:trPr>
        <w:tc>
          <w:tcPr>
            <w:tcW w:w="130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61C1B913">
            <w:pPr>
              <w:widowControl/>
              <w:spacing w:line="360" w:lineRule="auto"/>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bidi="ar"/>
                <w14:textFill>
                  <w14:solidFill>
                    <w14:schemeClr w14:val="tx1"/>
                  </w14:solidFill>
                </w14:textFill>
              </w:rPr>
              <w:t>序号</w:t>
            </w:r>
          </w:p>
        </w:tc>
        <w:tc>
          <w:tcPr>
            <w:tcW w:w="2893"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2C0B3C46">
            <w:pPr>
              <w:widowControl/>
              <w:spacing w:line="360" w:lineRule="auto"/>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bidi="ar"/>
                <w14:textFill>
                  <w14:solidFill>
                    <w14:schemeClr w14:val="tx1"/>
                  </w14:solidFill>
                </w14:textFill>
              </w:rPr>
              <w:t>项目名称</w:t>
            </w:r>
          </w:p>
        </w:tc>
        <w:tc>
          <w:tcPr>
            <w:tcW w:w="2894"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616688F8">
            <w:pPr>
              <w:widowControl/>
              <w:spacing w:line="360" w:lineRule="auto"/>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bidi="ar"/>
                <w14:textFill>
                  <w14:solidFill>
                    <w14:schemeClr w14:val="tx1"/>
                  </w14:solidFill>
                </w14:textFill>
              </w:rPr>
              <w:t>服务期限</w:t>
            </w:r>
          </w:p>
        </w:tc>
        <w:tc>
          <w:tcPr>
            <w:tcW w:w="284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6ED311EE">
            <w:pPr>
              <w:widowControl/>
              <w:spacing w:line="360" w:lineRule="auto"/>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bidi="ar"/>
                <w14:textFill>
                  <w14:solidFill>
                    <w14:schemeClr w14:val="tx1"/>
                  </w14:solidFill>
                </w14:textFill>
              </w:rPr>
              <w:t>预算总价（元）</w:t>
            </w:r>
          </w:p>
        </w:tc>
      </w:tr>
      <w:tr w14:paraId="04D782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535" w:hRule="atLeast"/>
        </w:trPr>
        <w:tc>
          <w:tcPr>
            <w:tcW w:w="1307"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2A47EB10">
            <w:pPr>
              <w:widowControl/>
              <w:spacing w:line="360" w:lineRule="auto"/>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1</w:t>
            </w:r>
          </w:p>
        </w:tc>
        <w:tc>
          <w:tcPr>
            <w:tcW w:w="2893"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23F10E74">
            <w:pPr>
              <w:widowControl/>
              <w:spacing w:line="360" w:lineRule="auto"/>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龙岩市第三医院排污监测项目</w:t>
            </w:r>
          </w:p>
        </w:tc>
        <w:tc>
          <w:tcPr>
            <w:tcW w:w="2894"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60B643AC">
            <w:pPr>
              <w:widowControl/>
              <w:spacing w:line="360" w:lineRule="auto"/>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bidi="ar"/>
                <w14:textFill>
                  <w14:solidFill>
                    <w14:schemeClr w14:val="tx1"/>
                  </w14:solidFill>
                </w14:textFill>
              </w:rPr>
              <w:t>自合同签订之日起2年</w:t>
            </w:r>
          </w:p>
        </w:tc>
        <w:tc>
          <w:tcPr>
            <w:tcW w:w="284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2DC446B5">
            <w:pPr>
              <w:widowControl/>
              <w:spacing w:line="360" w:lineRule="auto"/>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bidi="ar"/>
                <w14:textFill>
                  <w14:solidFill>
                    <w14:schemeClr w14:val="tx1"/>
                  </w14:solidFill>
                </w14:textFill>
              </w:rPr>
              <w:t>90000</w:t>
            </w:r>
          </w:p>
        </w:tc>
      </w:tr>
    </w:tbl>
    <w:p w14:paraId="1182F495">
      <w:pPr>
        <w:keepNext w:val="0"/>
        <w:keepLines w:val="0"/>
        <w:pageBreakBefore w:val="0"/>
        <w:kinsoku/>
        <w:overflowPunct/>
        <w:topLinePunct w:val="0"/>
        <w:autoSpaceDE w:val="0"/>
        <w:autoSpaceDN w:val="0"/>
        <w:bidi w:val="0"/>
        <w:spacing w:line="360" w:lineRule="auto"/>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p>
    <w:p w14:paraId="6922B126">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b/>
          <w:bCs w:val="0"/>
          <w:color w:val="000000" w:themeColor="text1"/>
          <w:spacing w:val="20"/>
          <w:sz w:val="24"/>
          <w:szCs w:val="24"/>
          <w:highlight w:val="none"/>
          <w:lang w:eastAsia="zh-CN"/>
          <w14:textFill>
            <w14:solidFill>
              <w14:schemeClr w14:val="tx1"/>
            </w14:solidFill>
          </w14:textFill>
        </w:rPr>
      </w:pPr>
      <w:r>
        <w:rPr>
          <w:rFonts w:hint="eastAsia" w:asciiTheme="minorEastAsia" w:hAnsiTheme="minorEastAsia" w:cstheme="minorEastAsia"/>
          <w:b/>
          <w:bCs w:val="0"/>
          <w:color w:val="000000" w:themeColor="text1"/>
          <w:spacing w:val="20"/>
          <w:sz w:val="24"/>
          <w:szCs w:val="24"/>
          <w:highlight w:val="none"/>
          <w:lang w:val="en-US" w:eastAsia="zh-CN"/>
          <w14:textFill>
            <w14:solidFill>
              <w14:schemeClr w14:val="tx1"/>
            </w14:solidFill>
          </w14:textFill>
        </w:rPr>
        <w:t>二）</w:t>
      </w:r>
      <w:r>
        <w:rPr>
          <w:rFonts w:hint="eastAsia" w:ascii="宋体" w:hAnsi="宋体" w:eastAsia="宋体" w:cs="Times New Roman"/>
          <w:b/>
          <w:bCs w:val="0"/>
          <w:color w:val="000000" w:themeColor="text1"/>
          <w:spacing w:val="20"/>
          <w:sz w:val="24"/>
          <w:szCs w:val="24"/>
          <w:highlight w:val="none"/>
          <w:lang w:eastAsia="zh-CN"/>
          <w14:textFill>
            <w14:solidFill>
              <w14:schemeClr w14:val="tx1"/>
            </w14:solidFill>
          </w14:textFill>
        </w:rPr>
        <w:t>监测服务内容</w:t>
      </w:r>
    </w:p>
    <w:p w14:paraId="76C81BC3">
      <w:pPr>
        <w:pStyle w:val="10"/>
        <w:widowControl/>
        <w:spacing w:before="0" w:beforeAutospacing="0" w:after="0" w:afterAutospacing="0" w:line="500" w:lineRule="exact"/>
        <w:ind w:firstLine="566" w:firstLineChars="236"/>
        <w:rPr>
          <w:rFonts w:hint="eastAsia" w:ascii="宋体" w:hAnsi="宋体" w:cs="宋体"/>
          <w:bCs/>
          <w:color w:val="000000" w:themeColor="text1"/>
          <w:highlight w:val="none"/>
          <w:shd w:val="clear" w:color="auto" w:fill="FFFFFF"/>
          <w14:textFill>
            <w14:solidFill>
              <w14:schemeClr w14:val="tx1"/>
            </w14:solidFill>
          </w14:textFill>
        </w:rPr>
      </w:pPr>
      <w:r>
        <w:rPr>
          <w:rFonts w:hint="eastAsia" w:cs="宋体"/>
          <w:bCs/>
          <w:color w:val="000000" w:themeColor="text1"/>
          <w:highlight w:val="none"/>
          <w:shd w:val="clear" w:color="auto" w:fill="FFFFFF"/>
          <w:lang w:eastAsia="zh-CN"/>
          <w14:textFill>
            <w14:solidFill>
              <w14:schemeClr w14:val="tx1"/>
            </w14:solidFill>
          </w14:textFill>
        </w:rPr>
        <w:t>（一）</w:t>
      </w:r>
      <w:r>
        <w:rPr>
          <w:rFonts w:hint="eastAsia" w:ascii="宋体" w:hAnsi="宋体" w:cs="宋体"/>
          <w:bCs/>
          <w:color w:val="000000" w:themeColor="text1"/>
          <w:highlight w:val="none"/>
          <w:shd w:val="clear" w:color="auto" w:fill="FFFFFF"/>
          <w14:textFill>
            <w14:solidFill>
              <w14:schemeClr w14:val="tx1"/>
            </w14:solidFill>
          </w14:textFill>
        </w:rPr>
        <w:t>本项目</w:t>
      </w:r>
      <w:r>
        <w:rPr>
          <w:rFonts w:hint="eastAsia" w:ascii="宋体" w:cs="宋体"/>
          <w:color w:val="000000" w:themeColor="text1"/>
          <w:highlight w:val="none"/>
          <w14:textFill>
            <w14:solidFill>
              <w14:schemeClr w14:val="tx1"/>
            </w14:solidFill>
          </w14:textFill>
        </w:rPr>
        <w:t>采用现场采样方式</w:t>
      </w:r>
      <w:r>
        <w:rPr>
          <w:rFonts w:hint="eastAsia" w:ascii="宋体" w:hAnsi="宋体" w:cs="宋体"/>
          <w:bCs/>
          <w:color w:val="000000" w:themeColor="text1"/>
          <w:highlight w:val="none"/>
          <w:shd w:val="clear" w:color="auto" w:fill="FFFFFF"/>
          <w14:textFill>
            <w14:solidFill>
              <w14:schemeClr w14:val="tx1"/>
            </w14:solidFill>
          </w14:textFill>
        </w:rPr>
        <w:t>，采购人将提供一切必要的资料以保证</w:t>
      </w:r>
      <w:r>
        <w:rPr>
          <w:rFonts w:hint="eastAsia" w:cs="宋体"/>
          <w:bCs/>
          <w:color w:val="000000" w:themeColor="text1"/>
          <w:highlight w:val="none"/>
          <w:shd w:val="clear" w:color="auto" w:fill="FFFFFF"/>
          <w:lang w:eastAsia="zh-CN"/>
          <w14:textFill>
            <w14:solidFill>
              <w14:schemeClr w14:val="tx1"/>
            </w14:solidFill>
          </w14:textFill>
        </w:rPr>
        <w:t>成交供应商</w:t>
      </w:r>
      <w:r>
        <w:rPr>
          <w:rFonts w:hint="eastAsia" w:ascii="宋体" w:hAnsi="宋体" w:cs="宋体"/>
          <w:bCs/>
          <w:color w:val="000000" w:themeColor="text1"/>
          <w:highlight w:val="none"/>
          <w:shd w:val="clear" w:color="auto" w:fill="FFFFFF"/>
          <w14:textFill>
            <w14:solidFill>
              <w14:schemeClr w14:val="tx1"/>
            </w14:solidFill>
          </w14:textFill>
        </w:rPr>
        <w:t>采样的顺利进行，包括但不限于主要污染物、排污口状况等必要的资料。</w:t>
      </w:r>
    </w:p>
    <w:p w14:paraId="23C7FB11">
      <w:pPr>
        <w:pStyle w:val="10"/>
        <w:widowControl/>
        <w:spacing w:before="0" w:beforeAutospacing="0" w:after="0" w:afterAutospacing="0" w:line="500" w:lineRule="exact"/>
        <w:ind w:firstLine="566" w:firstLineChars="236"/>
        <w:rPr>
          <w:rFonts w:hint="eastAsia" w:ascii="宋体" w:hAnsi="宋体" w:cs="宋体"/>
          <w:bCs/>
          <w:color w:val="000000" w:themeColor="text1"/>
          <w:highlight w:val="none"/>
          <w:shd w:val="clear" w:color="auto" w:fill="FFFFFF"/>
          <w14:textFill>
            <w14:solidFill>
              <w14:schemeClr w14:val="tx1"/>
            </w14:solidFill>
          </w14:textFill>
        </w:rPr>
      </w:pPr>
      <w:r>
        <w:rPr>
          <w:rFonts w:hint="eastAsia" w:cs="宋体"/>
          <w:bCs/>
          <w:color w:val="000000" w:themeColor="text1"/>
          <w:highlight w:val="none"/>
          <w:shd w:val="clear" w:color="auto" w:fill="FFFFFF"/>
          <w:lang w:eastAsia="zh-CN"/>
          <w14:textFill>
            <w14:solidFill>
              <w14:schemeClr w14:val="tx1"/>
            </w14:solidFill>
          </w14:textFill>
        </w:rPr>
        <w:t>（二）</w:t>
      </w:r>
      <w:r>
        <w:rPr>
          <w:rFonts w:hint="eastAsia" w:ascii="宋体" w:cs="宋体"/>
          <w:color w:val="000000" w:themeColor="text1"/>
          <w:highlight w:val="none"/>
          <w14:textFill>
            <w14:solidFill>
              <w14:schemeClr w14:val="tx1"/>
            </w14:solidFill>
          </w14:textFill>
        </w:rPr>
        <w:t>在实施采样前，</w:t>
      </w:r>
      <w:r>
        <w:rPr>
          <w:rFonts w:hint="eastAsia" w:ascii="宋体" w:hAnsi="宋体" w:cs="宋体"/>
          <w:bCs/>
          <w:color w:val="000000" w:themeColor="text1"/>
          <w:highlight w:val="none"/>
          <w:shd w:val="clear" w:color="auto" w:fill="FFFFFF"/>
          <w14:textFill>
            <w14:solidFill>
              <w14:schemeClr w14:val="tx1"/>
            </w14:solidFill>
          </w14:textFill>
        </w:rPr>
        <w:t>采购人</w:t>
      </w:r>
      <w:r>
        <w:rPr>
          <w:rFonts w:hint="eastAsia" w:ascii="宋体" w:cs="宋体"/>
          <w:color w:val="000000" w:themeColor="text1"/>
          <w:highlight w:val="none"/>
          <w14:textFill>
            <w14:solidFill>
              <w14:schemeClr w14:val="tx1"/>
            </w14:solidFill>
          </w14:textFill>
        </w:rPr>
        <w:t>将明确告知</w:t>
      </w:r>
      <w:r>
        <w:rPr>
          <w:rFonts w:hint="eastAsia" w:cs="宋体"/>
          <w:bCs/>
          <w:color w:val="000000" w:themeColor="text1"/>
          <w:highlight w:val="none"/>
          <w:shd w:val="clear" w:color="auto" w:fill="FFFFFF"/>
          <w:lang w:eastAsia="zh-CN"/>
          <w14:textFill>
            <w14:solidFill>
              <w14:schemeClr w14:val="tx1"/>
            </w14:solidFill>
          </w14:textFill>
        </w:rPr>
        <w:t>成交供应商</w:t>
      </w:r>
      <w:r>
        <w:rPr>
          <w:rFonts w:hint="eastAsia" w:ascii="宋体" w:cs="宋体"/>
          <w:color w:val="000000" w:themeColor="text1"/>
          <w:highlight w:val="none"/>
          <w14:textFill>
            <w14:solidFill>
              <w14:schemeClr w14:val="tx1"/>
            </w14:solidFill>
          </w14:textFill>
        </w:rPr>
        <w:t>采样人员有关的规章制度，并采取一切必要的措施，确保</w:t>
      </w:r>
      <w:r>
        <w:rPr>
          <w:rFonts w:hint="eastAsia" w:cs="宋体"/>
          <w:bCs/>
          <w:color w:val="000000" w:themeColor="text1"/>
          <w:highlight w:val="none"/>
          <w:shd w:val="clear" w:color="auto" w:fill="FFFFFF"/>
          <w:lang w:eastAsia="zh-CN"/>
          <w14:textFill>
            <w14:solidFill>
              <w14:schemeClr w14:val="tx1"/>
            </w14:solidFill>
          </w14:textFill>
        </w:rPr>
        <w:t>成交供应商</w:t>
      </w:r>
      <w:r>
        <w:rPr>
          <w:rFonts w:hint="eastAsia" w:ascii="宋体" w:cs="宋体"/>
          <w:color w:val="000000" w:themeColor="text1"/>
          <w:highlight w:val="none"/>
          <w14:textFill>
            <w14:solidFill>
              <w14:schemeClr w14:val="tx1"/>
            </w14:solidFill>
          </w14:textFill>
        </w:rPr>
        <w:t>检测、采样的服务过程中的工作条件、场地，并安排一名熟悉具体项目情况的人员配合</w:t>
      </w:r>
      <w:r>
        <w:rPr>
          <w:rFonts w:hint="eastAsia" w:cs="宋体"/>
          <w:bCs/>
          <w:color w:val="000000" w:themeColor="text1"/>
          <w:highlight w:val="none"/>
          <w:shd w:val="clear" w:color="auto" w:fill="FFFFFF"/>
          <w:lang w:eastAsia="zh-CN"/>
          <w14:textFill>
            <w14:solidFill>
              <w14:schemeClr w14:val="tx1"/>
            </w14:solidFill>
          </w14:textFill>
        </w:rPr>
        <w:t>成交供应商</w:t>
      </w:r>
      <w:r>
        <w:rPr>
          <w:rFonts w:hint="eastAsia" w:ascii="宋体" w:cs="宋体"/>
          <w:color w:val="000000" w:themeColor="text1"/>
          <w:highlight w:val="none"/>
          <w14:textFill>
            <w14:solidFill>
              <w14:schemeClr w14:val="tx1"/>
            </w14:solidFill>
          </w14:textFill>
        </w:rPr>
        <w:t>进行现场采样。</w:t>
      </w:r>
    </w:p>
    <w:p w14:paraId="0351EA29">
      <w:pPr>
        <w:pStyle w:val="10"/>
        <w:widowControl/>
        <w:spacing w:before="0" w:beforeAutospacing="0" w:after="0" w:afterAutospacing="0" w:line="500" w:lineRule="exact"/>
        <w:ind w:firstLine="600" w:firstLineChars="250"/>
        <w:rPr>
          <w:rFonts w:hint="eastAsia" w:ascii="宋体" w:cs="宋体"/>
          <w:color w:val="000000" w:themeColor="text1"/>
          <w:highlight w:val="none"/>
          <w14:textFill>
            <w14:solidFill>
              <w14:schemeClr w14:val="tx1"/>
            </w14:solidFill>
          </w14:textFill>
        </w:rPr>
      </w:pPr>
      <w:r>
        <w:rPr>
          <w:rFonts w:hint="eastAsia" w:cs="宋体"/>
          <w:color w:val="000000" w:themeColor="text1"/>
          <w:highlight w:val="none"/>
          <w:shd w:val="clear" w:color="auto" w:fill="FFFFFF"/>
          <w:lang w:eastAsia="zh-CN"/>
          <w14:textFill>
            <w14:solidFill>
              <w14:schemeClr w14:val="tx1"/>
            </w14:solidFill>
          </w14:textFill>
        </w:rPr>
        <w:t>（三）成交供应商应根据根据监测服务内容所确定的监测项目、监测点位、监测频次、采样频次及标准，按照符合国家规定的方法进行采样，并出具检测报告</w:t>
      </w:r>
      <w:r>
        <w:rPr>
          <w:rFonts w:hint="eastAsia" w:ascii="宋体" w:cs="宋体"/>
          <w:color w:val="000000" w:themeColor="text1"/>
          <w:highlight w:val="none"/>
          <w14:textFill>
            <w14:solidFill>
              <w14:schemeClr w14:val="tx1"/>
            </w14:solidFill>
          </w14:textFill>
        </w:rPr>
        <w:t>。</w:t>
      </w:r>
    </w:p>
    <w:p w14:paraId="2BF2DDAD">
      <w:pPr>
        <w:pStyle w:val="10"/>
        <w:widowControl/>
        <w:spacing w:before="0" w:beforeAutospacing="0" w:after="0" w:afterAutospacing="0" w:line="500" w:lineRule="exact"/>
        <w:ind w:firstLine="600" w:firstLineChars="250"/>
        <w:rPr>
          <w:rFonts w:hint="eastAsia" w:ascii="宋体" w:cs="宋体"/>
          <w:color w:val="000000" w:themeColor="text1"/>
          <w:highlight w:val="none"/>
          <w14:textFill>
            <w14:solidFill>
              <w14:schemeClr w14:val="tx1"/>
            </w14:solidFill>
          </w14:textFill>
        </w:rPr>
      </w:pPr>
      <w:r>
        <w:rPr>
          <w:rFonts w:hint="eastAsia" w:cs="宋体"/>
          <w:color w:val="000000" w:themeColor="text1"/>
          <w:highlight w:val="none"/>
          <w:lang w:eastAsia="zh-CN"/>
          <w14:textFill>
            <w14:solidFill>
              <w14:schemeClr w14:val="tx1"/>
            </w14:solidFill>
          </w14:textFill>
        </w:rPr>
        <w:t>（四）成交供应商</w:t>
      </w:r>
      <w:r>
        <w:rPr>
          <w:rFonts w:hint="eastAsia" w:ascii="宋体" w:cs="宋体"/>
          <w:color w:val="000000" w:themeColor="text1"/>
          <w:highlight w:val="none"/>
          <w14:textFill>
            <w14:solidFill>
              <w14:schemeClr w14:val="tx1"/>
            </w14:solidFill>
          </w14:textFill>
        </w:rPr>
        <w:t>应负责按时将相关检测数据上传至环保部门指定的数据填报平台。</w:t>
      </w:r>
    </w:p>
    <w:p w14:paraId="3EC107F4">
      <w:pPr>
        <w:pStyle w:val="10"/>
        <w:widowControl/>
        <w:spacing w:before="0" w:beforeAutospacing="0" w:after="0" w:afterAutospacing="0" w:line="500" w:lineRule="exact"/>
        <w:ind w:firstLine="566" w:firstLineChars="236"/>
        <w:rPr>
          <w:rFonts w:hint="eastAsia" w:ascii="宋体" w:cs="宋体"/>
          <w:color w:val="000000" w:themeColor="text1"/>
          <w:highlight w:val="none"/>
          <w14:textFill>
            <w14:solidFill>
              <w14:schemeClr w14:val="tx1"/>
            </w14:solidFill>
          </w14:textFill>
        </w:rPr>
      </w:pPr>
      <w:r>
        <w:rPr>
          <w:rFonts w:hint="eastAsia" w:cs="宋体"/>
          <w:color w:val="000000" w:themeColor="text1"/>
          <w:highlight w:val="none"/>
          <w:lang w:eastAsia="zh-CN"/>
          <w14:textFill>
            <w14:solidFill>
              <w14:schemeClr w14:val="tx1"/>
            </w14:solidFill>
          </w14:textFill>
        </w:rPr>
        <w:t>（五）</w:t>
      </w:r>
      <w:r>
        <w:rPr>
          <w:rFonts w:hint="eastAsia" w:ascii="宋体" w:cs="宋体"/>
          <w:color w:val="000000" w:themeColor="text1"/>
          <w:highlight w:val="none"/>
          <w14:textFill>
            <w14:solidFill>
              <w14:schemeClr w14:val="tx1"/>
            </w14:solidFill>
          </w14:textFill>
        </w:rPr>
        <w:t>报告递交方式：</w:t>
      </w:r>
      <w:r>
        <w:rPr>
          <w:rFonts w:hint="eastAsia" w:cs="宋体"/>
          <w:color w:val="000000" w:themeColor="text1"/>
          <w:highlight w:val="none"/>
          <w:shd w:val="clear" w:color="auto" w:fill="FFFFFF"/>
          <w:lang w:eastAsia="zh-CN"/>
          <w14:textFill>
            <w14:solidFill>
              <w14:schemeClr w14:val="tx1"/>
            </w14:solidFill>
          </w14:textFill>
        </w:rPr>
        <w:t>成交供应商</w:t>
      </w:r>
      <w:r>
        <w:rPr>
          <w:rFonts w:hint="eastAsia" w:ascii="宋体" w:cs="宋体"/>
          <w:color w:val="000000" w:themeColor="text1"/>
          <w:highlight w:val="none"/>
          <w14:textFill>
            <w14:solidFill>
              <w14:schemeClr w14:val="tx1"/>
            </w14:solidFill>
          </w14:textFill>
        </w:rPr>
        <w:t>采完样品检测结束后</w:t>
      </w:r>
      <w:r>
        <w:rPr>
          <w:rFonts w:ascii="宋体" w:cs="宋体"/>
          <w:color w:val="000000" w:themeColor="text1"/>
          <w:highlight w:val="none"/>
          <w14:textFill>
            <w14:solidFill>
              <w14:schemeClr w14:val="tx1"/>
            </w14:solidFill>
          </w14:textFill>
        </w:rPr>
        <w:t>,</w:t>
      </w:r>
      <w:r>
        <w:rPr>
          <w:rFonts w:hint="eastAsia" w:cs="宋体"/>
          <w:color w:val="000000" w:themeColor="text1"/>
          <w:highlight w:val="none"/>
          <w:shd w:val="clear" w:color="auto" w:fill="FFFFFF"/>
          <w:lang w:eastAsia="zh-CN"/>
          <w14:textFill>
            <w14:solidFill>
              <w14:schemeClr w14:val="tx1"/>
            </w14:solidFill>
          </w14:textFill>
        </w:rPr>
        <w:t>成交供应商</w:t>
      </w:r>
      <w:r>
        <w:rPr>
          <w:rFonts w:hint="eastAsia" w:ascii="宋体" w:cs="宋体"/>
          <w:color w:val="000000" w:themeColor="text1"/>
          <w:highlight w:val="none"/>
          <w14:textFill>
            <w14:solidFill>
              <w14:schemeClr w14:val="tx1"/>
            </w14:solidFill>
          </w14:textFill>
        </w:rPr>
        <w:t>应先将检测结果用电子版发给采购人进行复核，采购人在15个工作日内完成实际情况复核，复核后</w:t>
      </w:r>
      <w:r>
        <w:rPr>
          <w:rFonts w:hint="eastAsia" w:cs="宋体"/>
          <w:color w:val="000000" w:themeColor="text1"/>
          <w:highlight w:val="none"/>
          <w:shd w:val="clear" w:color="auto" w:fill="FFFFFF"/>
          <w:lang w:eastAsia="zh-CN"/>
          <w14:textFill>
            <w14:solidFill>
              <w14:schemeClr w14:val="tx1"/>
            </w14:solidFill>
          </w14:textFill>
        </w:rPr>
        <w:t>成交供应商</w:t>
      </w:r>
      <w:r>
        <w:rPr>
          <w:rFonts w:hint="eastAsia" w:ascii="宋体" w:cs="宋体"/>
          <w:color w:val="000000" w:themeColor="text1"/>
          <w:highlight w:val="none"/>
          <w14:textFill>
            <w14:solidFill>
              <w14:schemeClr w14:val="tx1"/>
            </w14:solidFill>
          </w14:textFill>
        </w:rPr>
        <w:t>在15个工作日内将报告与发票邮寄给采购人项目负责人。</w:t>
      </w:r>
    </w:p>
    <w:p w14:paraId="2D8920CB">
      <w:pPr>
        <w:pStyle w:val="10"/>
        <w:widowControl/>
        <w:spacing w:before="0" w:beforeAutospacing="0" w:after="0" w:afterAutospacing="0" w:line="500" w:lineRule="exact"/>
        <w:ind w:firstLine="566" w:firstLineChars="236"/>
        <w:rPr>
          <w:rFonts w:hint="eastAsia"/>
          <w:color w:val="000000" w:themeColor="text1"/>
          <w:highlight w:val="none"/>
          <w:lang w:eastAsia="zh-CN"/>
          <w14:textFill>
            <w14:solidFill>
              <w14:schemeClr w14:val="tx1"/>
            </w14:solidFill>
          </w14:textFill>
        </w:rPr>
      </w:pPr>
      <w:r>
        <w:rPr>
          <w:rFonts w:hint="eastAsia" w:cs="宋体"/>
          <w:color w:val="000000" w:themeColor="text1"/>
          <w:highlight w:val="none"/>
          <w:shd w:val="clear" w:color="auto" w:fill="FFFFFF"/>
          <w:lang w:eastAsia="zh-CN"/>
          <w14:textFill>
            <w14:solidFill>
              <w14:schemeClr w14:val="tx1"/>
            </w14:solidFill>
          </w14:textFill>
        </w:rPr>
        <w:t>（六）</w:t>
      </w:r>
      <w:r>
        <w:rPr>
          <w:rFonts w:hint="eastAsia" w:ascii="宋体" w:hAnsi="宋体"/>
          <w:color w:val="000000" w:themeColor="text1"/>
          <w:highlight w:val="none"/>
          <w14:textFill>
            <w14:solidFill>
              <w14:schemeClr w14:val="tx1"/>
            </w14:solidFill>
          </w14:textFill>
        </w:rPr>
        <w:t>附</w:t>
      </w:r>
      <w:r>
        <w:rPr>
          <w:rFonts w:hint="eastAsia" w:ascii="宋体" w:hAnsi="宋体"/>
          <w:b w:val="0"/>
          <w:bCs w:val="0"/>
          <w:color w:val="000000" w:themeColor="text1"/>
          <w:highlight w:val="none"/>
          <w14:textFill>
            <w14:solidFill>
              <w14:schemeClr w14:val="tx1"/>
            </w14:solidFill>
          </w14:textFill>
        </w:rPr>
        <w:t>件1监测</w:t>
      </w:r>
      <w:r>
        <w:rPr>
          <w:rFonts w:hint="eastAsia"/>
          <w:b w:val="0"/>
          <w:bCs w:val="0"/>
          <w:color w:val="000000" w:themeColor="text1"/>
          <w:highlight w:val="none"/>
          <w14:textFill>
            <w14:solidFill>
              <w14:schemeClr w14:val="tx1"/>
            </w14:solidFill>
          </w14:textFill>
        </w:rPr>
        <w:t>项目表中所列项目均为预估</w:t>
      </w:r>
      <w:r>
        <w:rPr>
          <w:rFonts w:hint="eastAsia" w:ascii="宋体" w:hAnsi="宋体" w:eastAsia="宋体" w:cs="宋体"/>
          <w:b w:val="0"/>
          <w:bCs w:val="0"/>
          <w:color w:val="000000" w:themeColor="text1"/>
          <w:kern w:val="0"/>
          <w:sz w:val="24"/>
          <w:highlight w:val="none"/>
          <w:lang w:bidi="ar"/>
          <w14:textFill>
            <w14:solidFill>
              <w14:schemeClr w14:val="tx1"/>
            </w14:solidFill>
          </w14:textFill>
        </w:rPr>
        <w:t>监测</w:t>
      </w:r>
      <w:r>
        <w:rPr>
          <w:rFonts w:hint="eastAsia"/>
          <w:b w:val="0"/>
          <w:bCs w:val="0"/>
          <w:color w:val="000000" w:themeColor="text1"/>
          <w:highlight w:val="none"/>
          <w14:textFill>
            <w14:solidFill>
              <w14:schemeClr w14:val="tx1"/>
            </w14:solidFill>
          </w14:textFill>
        </w:rPr>
        <w:t>项目，实际</w:t>
      </w:r>
      <w:r>
        <w:rPr>
          <w:rFonts w:hint="eastAsia" w:ascii="宋体" w:hAnsi="宋体" w:eastAsia="宋体" w:cs="宋体"/>
          <w:b w:val="0"/>
          <w:bCs w:val="0"/>
          <w:color w:val="000000" w:themeColor="text1"/>
          <w:kern w:val="0"/>
          <w:sz w:val="24"/>
          <w:highlight w:val="none"/>
          <w:lang w:bidi="ar"/>
          <w14:textFill>
            <w14:solidFill>
              <w14:schemeClr w14:val="tx1"/>
            </w14:solidFill>
          </w14:textFill>
        </w:rPr>
        <w:t>监测</w:t>
      </w:r>
      <w:r>
        <w:rPr>
          <w:rFonts w:hint="eastAsia"/>
          <w:b w:val="0"/>
          <w:bCs w:val="0"/>
          <w:color w:val="000000" w:themeColor="text1"/>
          <w:highlight w:val="none"/>
          <w14:textFill>
            <w14:solidFill>
              <w14:schemeClr w14:val="tx1"/>
            </w14:solidFill>
          </w14:textFill>
        </w:rPr>
        <w:t>项目以采购人</w:t>
      </w:r>
      <w:r>
        <w:rPr>
          <w:rFonts w:hint="eastAsia"/>
          <w:b w:val="0"/>
          <w:bCs w:val="0"/>
          <w:color w:val="000000" w:themeColor="text1"/>
          <w:highlight w:val="none"/>
          <w:lang w:eastAsia="zh-CN"/>
          <w14:textFill>
            <w14:solidFill>
              <w14:schemeClr w14:val="tx1"/>
            </w14:solidFill>
          </w14:textFill>
        </w:rPr>
        <w:t>《排污许可证》载明的污染物和采购人下达的通知为准</w:t>
      </w:r>
      <w:r>
        <w:rPr>
          <w:rFonts w:hint="eastAsia"/>
          <w:b w:val="0"/>
          <w:bCs w:val="0"/>
          <w:color w:val="000000" w:themeColor="text1"/>
          <w:highlight w:val="none"/>
          <w14:textFill>
            <w14:solidFill>
              <w14:schemeClr w14:val="tx1"/>
            </w14:solidFill>
          </w14:textFill>
        </w:rPr>
        <w:t>。</w:t>
      </w:r>
    </w:p>
    <w:p w14:paraId="6CA522BA">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b/>
          <w:bCs w:val="0"/>
          <w:color w:val="000000" w:themeColor="text1"/>
          <w:spacing w:val="2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附件1：</w:t>
      </w:r>
      <w:r>
        <w:rPr>
          <w:rFonts w:hint="eastAsia" w:ascii="宋体" w:hAnsi="宋体" w:eastAsia="宋体" w:cs="Times New Roman"/>
          <w:b/>
          <w:bCs w:val="0"/>
          <w:color w:val="000000" w:themeColor="text1"/>
          <w:spacing w:val="20"/>
          <w:sz w:val="24"/>
          <w:szCs w:val="24"/>
          <w:highlight w:val="none"/>
          <w:lang w:eastAsia="zh-CN"/>
          <w14:textFill>
            <w14:solidFill>
              <w14:schemeClr w14:val="tx1"/>
            </w14:solidFill>
          </w14:textFill>
        </w:rPr>
        <w:t>监测项目表：</w:t>
      </w:r>
    </w:p>
    <w:tbl>
      <w:tblPr>
        <w:tblStyle w:val="12"/>
        <w:tblW w:w="10286" w:type="dxa"/>
        <w:tblInd w:w="-1052" w:type="dxa"/>
        <w:tblLayout w:type="fixed"/>
        <w:tblCellMar>
          <w:top w:w="0" w:type="dxa"/>
          <w:left w:w="108" w:type="dxa"/>
          <w:bottom w:w="0" w:type="dxa"/>
          <w:right w:w="108" w:type="dxa"/>
        </w:tblCellMar>
      </w:tblPr>
      <w:tblGrid>
        <w:gridCol w:w="1253"/>
        <w:gridCol w:w="1218"/>
        <w:gridCol w:w="825"/>
        <w:gridCol w:w="1590"/>
        <w:gridCol w:w="1725"/>
        <w:gridCol w:w="2565"/>
        <w:gridCol w:w="1110"/>
      </w:tblGrid>
      <w:tr w14:paraId="649C67A9">
        <w:tblPrEx>
          <w:tblCellMar>
            <w:top w:w="0" w:type="dxa"/>
            <w:left w:w="108" w:type="dxa"/>
            <w:bottom w:w="0" w:type="dxa"/>
            <w:right w:w="108" w:type="dxa"/>
          </w:tblCellMar>
        </w:tblPrEx>
        <w:trPr>
          <w:trHeight w:val="1001" w:hRule="atLeast"/>
        </w:trPr>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A7CDB5D">
            <w:pPr>
              <w:widowControl/>
              <w:spacing w:line="500" w:lineRule="exact"/>
              <w:jc w:val="center"/>
              <w:textAlignment w:val="center"/>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bidi="ar"/>
                <w14:textFill>
                  <w14:solidFill>
                    <w14:schemeClr w14:val="tx1"/>
                  </w14:solidFill>
                </w14:textFill>
              </w:rPr>
              <w:t>监测</w:t>
            </w:r>
            <w:r>
              <w:rPr>
                <w:rFonts w:hint="eastAsia" w:ascii="宋体" w:hAnsi="宋体" w:cs="宋体"/>
                <w:b/>
                <w:bCs/>
                <w:color w:val="000000" w:themeColor="text1"/>
                <w:kern w:val="0"/>
                <w:sz w:val="24"/>
                <w:szCs w:val="24"/>
                <w:highlight w:val="none"/>
                <w:lang w:bidi="ar"/>
                <w14:textFill>
                  <w14:solidFill>
                    <w14:schemeClr w14:val="tx1"/>
                  </w14:solidFill>
                </w14:textFill>
              </w:rPr>
              <w:t>类别</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1CDB919A">
            <w:pPr>
              <w:widowControl/>
              <w:spacing w:line="500" w:lineRule="exact"/>
              <w:jc w:val="center"/>
              <w:textAlignment w:val="center"/>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bidi="ar"/>
                <w14:textFill>
                  <w14:solidFill>
                    <w14:schemeClr w14:val="tx1"/>
                  </w14:solidFill>
                </w14:textFill>
              </w:rPr>
              <w:t>监测</w:t>
            </w:r>
            <w:r>
              <w:rPr>
                <w:rFonts w:hint="eastAsia" w:ascii="宋体" w:hAnsi="宋体" w:cs="宋体"/>
                <w:b/>
                <w:bCs/>
                <w:color w:val="000000" w:themeColor="text1"/>
                <w:kern w:val="0"/>
                <w:sz w:val="24"/>
                <w:szCs w:val="24"/>
                <w:highlight w:val="none"/>
                <w:lang w:bidi="ar"/>
                <w14:textFill>
                  <w14:solidFill>
                    <w14:schemeClr w14:val="tx1"/>
                  </w14:solidFill>
                </w14:textFill>
              </w:rPr>
              <w:t>项目</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A61C45F">
            <w:pPr>
              <w:widowControl/>
              <w:spacing w:line="500" w:lineRule="exact"/>
              <w:jc w:val="center"/>
              <w:textAlignment w:val="center"/>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bidi="ar"/>
                <w14:textFill>
                  <w14:solidFill>
                    <w14:schemeClr w14:val="tx1"/>
                  </w14:solidFill>
                </w14:textFill>
              </w:rPr>
              <w:t>监测</w:t>
            </w:r>
            <w:r>
              <w:rPr>
                <w:rFonts w:hint="eastAsia" w:ascii="宋体" w:hAnsi="宋体" w:cs="宋体"/>
                <w:b/>
                <w:bCs/>
                <w:color w:val="000000" w:themeColor="text1"/>
                <w:kern w:val="0"/>
                <w:sz w:val="24"/>
                <w:szCs w:val="24"/>
                <w:highlight w:val="none"/>
                <w:lang w:bidi="ar"/>
                <w14:textFill>
                  <w14:solidFill>
                    <w14:schemeClr w14:val="tx1"/>
                  </w14:solidFill>
                </w14:textFill>
              </w:rPr>
              <w:t>点位</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3D82DD7D">
            <w:pPr>
              <w:widowControl/>
              <w:spacing w:line="500" w:lineRule="exact"/>
              <w:jc w:val="center"/>
              <w:textAlignment w:val="center"/>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bidi="ar"/>
                <w14:textFill>
                  <w14:solidFill>
                    <w14:schemeClr w14:val="tx1"/>
                  </w14:solidFill>
                </w14:textFill>
              </w:rPr>
              <w:t>监测</w:t>
            </w:r>
            <w:r>
              <w:rPr>
                <w:rFonts w:hint="eastAsia" w:ascii="宋体" w:hAnsi="宋体" w:cs="宋体"/>
                <w:b/>
                <w:bCs/>
                <w:color w:val="000000" w:themeColor="text1"/>
                <w:kern w:val="0"/>
                <w:sz w:val="24"/>
                <w:szCs w:val="24"/>
                <w:highlight w:val="none"/>
                <w:lang w:bidi="ar"/>
                <w14:textFill>
                  <w14:solidFill>
                    <w14:schemeClr w14:val="tx1"/>
                  </w14:solidFill>
                </w14:textFill>
              </w:rPr>
              <w:t>频次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74C92DF">
            <w:pPr>
              <w:widowControl/>
              <w:spacing w:line="500" w:lineRule="exact"/>
              <w:jc w:val="center"/>
              <w:textAlignment w:val="center"/>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采样频次</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7E8512D3">
            <w:pPr>
              <w:widowControl/>
              <w:spacing w:line="500" w:lineRule="exact"/>
              <w:jc w:val="center"/>
              <w:textAlignment w:val="center"/>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bidi="ar"/>
                <w14:textFill>
                  <w14:solidFill>
                    <w14:schemeClr w14:val="tx1"/>
                  </w14:solidFill>
                </w14:textFill>
              </w:rPr>
              <w:t>检验标准（方法）名称及编号（含年号）</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DE05B74">
            <w:pPr>
              <w:widowControl/>
              <w:spacing w:line="500" w:lineRule="exact"/>
              <w:jc w:val="center"/>
              <w:textAlignment w:val="center"/>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bidi="ar"/>
                <w14:textFill>
                  <w14:solidFill>
                    <w14:schemeClr w14:val="tx1"/>
                  </w14:solidFill>
                </w14:textFill>
              </w:rPr>
              <w:t>检出限</w:t>
            </w:r>
          </w:p>
        </w:tc>
      </w:tr>
      <w:tr w14:paraId="60441E70">
        <w:tblPrEx>
          <w:tblCellMar>
            <w:top w:w="0" w:type="dxa"/>
            <w:left w:w="108" w:type="dxa"/>
            <w:bottom w:w="0" w:type="dxa"/>
            <w:right w:w="108" w:type="dxa"/>
          </w:tblCellMar>
        </w:tblPrEx>
        <w:trPr>
          <w:trHeight w:val="1960" w:hRule="atLeast"/>
        </w:trPr>
        <w:tc>
          <w:tcPr>
            <w:tcW w:w="1253" w:type="dxa"/>
            <w:vMerge w:val="restart"/>
            <w:tcBorders>
              <w:top w:val="single" w:color="000000" w:sz="4" w:space="0"/>
              <w:left w:val="single" w:color="000000" w:sz="4" w:space="0"/>
              <w:bottom w:val="single" w:color="000000" w:sz="4" w:space="0"/>
              <w:right w:val="single" w:color="000000" w:sz="4" w:space="0"/>
            </w:tcBorders>
            <w:noWrap w:val="0"/>
            <w:vAlign w:val="center"/>
          </w:tcPr>
          <w:p w14:paraId="33376C03">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0F8E21AF">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氨氮</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B08C4A7">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1 </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366AEF81">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cs="宋体"/>
                <w:b w:val="0"/>
                <w:bCs w:val="0"/>
                <w:color w:val="000000" w:themeColor="text1"/>
                <w:kern w:val="0"/>
                <w:sz w:val="24"/>
                <w:szCs w:val="24"/>
                <w:highlight w:val="none"/>
                <w:lang w:eastAsia="zh-CN" w:bidi="ar"/>
                <w14:textFill>
                  <w14:solidFill>
                    <w14:schemeClr w14:val="tx1"/>
                  </w14:solidFill>
                </w14:textFill>
              </w:rPr>
              <w:t>年</w:t>
            </w: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8</w:t>
            </w:r>
            <w:r>
              <w:rPr>
                <w:rFonts w:hint="eastAsia" w:ascii="宋体" w:hAnsi="宋体" w:cs="宋体"/>
                <w:b w:val="0"/>
                <w:bCs w:val="0"/>
                <w:color w:val="000000" w:themeColor="text1"/>
                <w:kern w:val="0"/>
                <w:sz w:val="24"/>
                <w:szCs w:val="24"/>
                <w:highlight w:val="none"/>
                <w:lang w:eastAsia="zh-CN" w:bidi="ar"/>
                <w14:textFill>
                  <w14:solidFill>
                    <w14:schemeClr w14:val="tx1"/>
                  </w14:solidFill>
                </w14:textFill>
              </w:rPr>
              <w:t>次</w:t>
            </w:r>
            <w:r>
              <w:rPr>
                <w:rFonts w:hint="eastAsia" w:ascii="宋体" w:hAnsi="宋体" w:cs="宋体"/>
                <w:b w:val="0"/>
                <w:bCs w:val="0"/>
                <w:color w:val="000000" w:themeColor="text1"/>
                <w:kern w:val="0"/>
                <w:sz w:val="24"/>
                <w:szCs w:val="24"/>
                <w:highlight w:val="none"/>
                <w:lang w:bidi="ar"/>
                <w14:textFill>
                  <w14:solidFill>
                    <w14:schemeClr w14:val="tx1"/>
                  </w14:solidFill>
                </w14:textFill>
              </w:rPr>
              <w:t>（1次/季度）</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590DF5">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每4小时采样1次，一日至少采样3次</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07F33CF8">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水质氨氮的测定 纳氏试剂分光光度法 HJ 535-2009 </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1825E41">
            <w:pPr>
              <w:spacing w:line="500" w:lineRule="exact"/>
              <w:jc w:val="center"/>
              <w:rPr>
                <w:rFonts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0.025mg/L</w:t>
            </w:r>
          </w:p>
        </w:tc>
      </w:tr>
      <w:tr w14:paraId="1B776D77">
        <w:tblPrEx>
          <w:tblCellMar>
            <w:top w:w="0" w:type="dxa"/>
            <w:left w:w="108" w:type="dxa"/>
            <w:bottom w:w="0" w:type="dxa"/>
            <w:right w:w="108" w:type="dxa"/>
          </w:tblCellMar>
        </w:tblPrEx>
        <w:trPr>
          <w:trHeight w:val="1496"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229C5E">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7B4D0A50">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挥发酚</w:t>
            </w:r>
          </w:p>
        </w:tc>
        <w:tc>
          <w:tcPr>
            <w:tcW w:w="825" w:type="dxa"/>
            <w:vMerge w:val="restart"/>
            <w:tcBorders>
              <w:top w:val="single" w:color="000000" w:sz="4" w:space="0"/>
              <w:left w:val="single" w:color="000000" w:sz="4" w:space="0"/>
              <w:right w:val="single" w:color="000000" w:sz="4" w:space="0"/>
            </w:tcBorders>
            <w:noWrap w:val="0"/>
            <w:vAlign w:val="center"/>
          </w:tcPr>
          <w:p w14:paraId="41A09DC6">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1590" w:type="dxa"/>
            <w:vMerge w:val="restart"/>
            <w:tcBorders>
              <w:top w:val="single" w:color="000000" w:sz="4" w:space="0"/>
              <w:left w:val="single" w:color="000000" w:sz="4" w:space="0"/>
              <w:right w:val="single" w:color="000000" w:sz="4" w:space="0"/>
            </w:tcBorders>
            <w:noWrap w:val="0"/>
            <w:vAlign w:val="center"/>
          </w:tcPr>
          <w:p w14:paraId="385D218A">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1725" w:type="dxa"/>
            <w:vMerge w:val="restart"/>
            <w:tcBorders>
              <w:top w:val="single" w:color="000000" w:sz="4" w:space="0"/>
              <w:left w:val="single" w:color="000000" w:sz="4" w:space="0"/>
              <w:right w:val="single" w:color="000000" w:sz="4" w:space="0"/>
            </w:tcBorders>
            <w:noWrap w:val="0"/>
            <w:vAlign w:val="center"/>
          </w:tcPr>
          <w:p w14:paraId="207A3092">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16210D83">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《水质挥发酚的测定 4-氨基安替比林分光光度法》  HJ 503-2009直接分光光度法</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54A3F9B">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0.01mg/L</w:t>
            </w:r>
          </w:p>
        </w:tc>
      </w:tr>
      <w:tr w14:paraId="473C7B41">
        <w:tblPrEx>
          <w:tblCellMar>
            <w:top w:w="0" w:type="dxa"/>
            <w:left w:w="108" w:type="dxa"/>
            <w:bottom w:w="0" w:type="dxa"/>
            <w:right w:w="108" w:type="dxa"/>
          </w:tblCellMar>
        </w:tblPrEx>
        <w:trPr>
          <w:trHeight w:val="605"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301574">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361A1B31">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色度</w:t>
            </w:r>
          </w:p>
        </w:tc>
        <w:tc>
          <w:tcPr>
            <w:tcW w:w="825" w:type="dxa"/>
            <w:vMerge w:val="continue"/>
            <w:tcBorders>
              <w:left w:val="single" w:color="000000" w:sz="4" w:space="0"/>
              <w:right w:val="single" w:color="000000" w:sz="4" w:space="0"/>
            </w:tcBorders>
            <w:noWrap w:val="0"/>
            <w:vAlign w:val="center"/>
          </w:tcPr>
          <w:p w14:paraId="7BBFF278">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590" w:type="dxa"/>
            <w:vMerge w:val="continue"/>
            <w:tcBorders>
              <w:left w:val="single" w:color="000000" w:sz="4" w:space="0"/>
              <w:right w:val="single" w:color="000000" w:sz="4" w:space="0"/>
            </w:tcBorders>
            <w:noWrap w:val="0"/>
            <w:vAlign w:val="center"/>
          </w:tcPr>
          <w:p w14:paraId="03CBB607">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725" w:type="dxa"/>
            <w:vMerge w:val="continue"/>
            <w:tcBorders>
              <w:left w:val="single" w:color="000000" w:sz="4" w:space="0"/>
              <w:right w:val="single" w:color="000000" w:sz="4" w:space="0"/>
            </w:tcBorders>
            <w:noWrap w:val="0"/>
            <w:vAlign w:val="center"/>
          </w:tcPr>
          <w:p w14:paraId="200CB757">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33F5D8FD">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水质 色度的测定GB 11903-89 </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DF9CB37">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r>
      <w:tr w14:paraId="2C67E176">
        <w:tblPrEx>
          <w:tblCellMar>
            <w:top w:w="0" w:type="dxa"/>
            <w:left w:w="108" w:type="dxa"/>
            <w:bottom w:w="0" w:type="dxa"/>
            <w:right w:w="108" w:type="dxa"/>
          </w:tblCellMar>
        </w:tblPrEx>
        <w:trPr>
          <w:trHeight w:val="1496"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AE920">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5ABCE599">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总氰化物</w:t>
            </w:r>
          </w:p>
        </w:tc>
        <w:tc>
          <w:tcPr>
            <w:tcW w:w="825" w:type="dxa"/>
            <w:vMerge w:val="continue"/>
            <w:tcBorders>
              <w:left w:val="single" w:color="000000" w:sz="4" w:space="0"/>
              <w:right w:val="single" w:color="000000" w:sz="4" w:space="0"/>
            </w:tcBorders>
            <w:noWrap w:val="0"/>
            <w:vAlign w:val="center"/>
          </w:tcPr>
          <w:p w14:paraId="032563F5">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590" w:type="dxa"/>
            <w:vMerge w:val="continue"/>
            <w:tcBorders>
              <w:left w:val="single" w:color="000000" w:sz="4" w:space="0"/>
              <w:right w:val="single" w:color="000000" w:sz="4" w:space="0"/>
            </w:tcBorders>
            <w:noWrap w:val="0"/>
            <w:vAlign w:val="center"/>
          </w:tcPr>
          <w:p w14:paraId="37BC6497">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725" w:type="dxa"/>
            <w:vMerge w:val="continue"/>
            <w:tcBorders>
              <w:left w:val="single" w:color="000000" w:sz="4" w:space="0"/>
              <w:right w:val="single" w:color="000000" w:sz="4" w:space="0"/>
            </w:tcBorders>
            <w:noWrap w:val="0"/>
            <w:vAlign w:val="center"/>
          </w:tcPr>
          <w:p w14:paraId="2780B014">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5019AB9A">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《水质氰化物的测定 容量法和分光光度法》 HJ 484-2009异烟酸－巴比妥酸分光光度法</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D3D8DCA">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0.001mg/L</w:t>
            </w:r>
          </w:p>
        </w:tc>
      </w:tr>
      <w:tr w14:paraId="407C365A">
        <w:tblPrEx>
          <w:tblCellMar>
            <w:top w:w="0" w:type="dxa"/>
            <w:left w:w="108" w:type="dxa"/>
            <w:bottom w:w="0" w:type="dxa"/>
            <w:right w:w="108" w:type="dxa"/>
          </w:tblCellMar>
        </w:tblPrEx>
        <w:trPr>
          <w:trHeight w:val="1001"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542809">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50883020">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动植物油类</w:t>
            </w:r>
          </w:p>
        </w:tc>
        <w:tc>
          <w:tcPr>
            <w:tcW w:w="825" w:type="dxa"/>
            <w:vMerge w:val="continue"/>
            <w:tcBorders>
              <w:left w:val="single" w:color="000000" w:sz="4" w:space="0"/>
              <w:right w:val="single" w:color="000000" w:sz="4" w:space="0"/>
            </w:tcBorders>
            <w:noWrap w:val="0"/>
            <w:vAlign w:val="center"/>
          </w:tcPr>
          <w:p w14:paraId="4A56C592">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590" w:type="dxa"/>
            <w:vMerge w:val="continue"/>
            <w:tcBorders>
              <w:left w:val="single" w:color="000000" w:sz="4" w:space="0"/>
              <w:right w:val="single" w:color="000000" w:sz="4" w:space="0"/>
            </w:tcBorders>
            <w:noWrap w:val="0"/>
            <w:vAlign w:val="center"/>
          </w:tcPr>
          <w:p w14:paraId="39FC649A">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725" w:type="dxa"/>
            <w:vMerge w:val="continue"/>
            <w:tcBorders>
              <w:left w:val="single" w:color="000000" w:sz="4" w:space="0"/>
              <w:right w:val="single" w:color="000000" w:sz="4" w:space="0"/>
            </w:tcBorders>
            <w:noWrap w:val="0"/>
            <w:vAlign w:val="center"/>
          </w:tcPr>
          <w:p w14:paraId="5DAD3F99">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5A9D7697">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《水质石油类和动植物油类的测定 红外分光光度法》HJ 637-2018</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BAC9171">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0.06mg/L</w:t>
            </w:r>
          </w:p>
        </w:tc>
      </w:tr>
      <w:tr w14:paraId="6E1EDCE0">
        <w:tblPrEx>
          <w:tblCellMar>
            <w:top w:w="0" w:type="dxa"/>
            <w:left w:w="108" w:type="dxa"/>
            <w:bottom w:w="0" w:type="dxa"/>
            <w:right w:w="108" w:type="dxa"/>
          </w:tblCellMar>
        </w:tblPrEx>
        <w:trPr>
          <w:trHeight w:val="546"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9A951F">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576F6386">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石油类</w:t>
            </w:r>
          </w:p>
        </w:tc>
        <w:tc>
          <w:tcPr>
            <w:tcW w:w="825" w:type="dxa"/>
            <w:vMerge w:val="continue"/>
            <w:tcBorders>
              <w:left w:val="single" w:color="000000" w:sz="4" w:space="0"/>
              <w:right w:val="single" w:color="000000" w:sz="4" w:space="0"/>
            </w:tcBorders>
            <w:noWrap w:val="0"/>
            <w:vAlign w:val="center"/>
          </w:tcPr>
          <w:p w14:paraId="3232ECE8">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590" w:type="dxa"/>
            <w:vMerge w:val="continue"/>
            <w:tcBorders>
              <w:left w:val="single" w:color="000000" w:sz="4" w:space="0"/>
              <w:right w:val="single" w:color="000000" w:sz="4" w:space="0"/>
            </w:tcBorders>
            <w:noWrap w:val="0"/>
            <w:vAlign w:val="center"/>
          </w:tcPr>
          <w:p w14:paraId="1C30A357">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725" w:type="dxa"/>
            <w:vMerge w:val="continue"/>
            <w:tcBorders>
              <w:left w:val="single" w:color="000000" w:sz="4" w:space="0"/>
              <w:right w:val="single" w:color="000000" w:sz="4" w:space="0"/>
            </w:tcBorders>
            <w:noWrap w:val="0"/>
            <w:vAlign w:val="center"/>
          </w:tcPr>
          <w:p w14:paraId="351B496C">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72D46154">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《水质石油类和动植物油类的测定 红外分光光度法》 HJ637-2018</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CBAAD26">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0.06mg/L</w:t>
            </w:r>
          </w:p>
        </w:tc>
      </w:tr>
      <w:tr w14:paraId="1B34DB3A">
        <w:tblPrEx>
          <w:tblCellMar>
            <w:top w:w="0" w:type="dxa"/>
            <w:left w:w="108" w:type="dxa"/>
            <w:bottom w:w="0" w:type="dxa"/>
            <w:right w:w="108" w:type="dxa"/>
          </w:tblCellMar>
        </w:tblPrEx>
        <w:trPr>
          <w:trHeight w:val="1001"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AEDFCC">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0B72C412">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阴离子表面活性剂</w:t>
            </w:r>
          </w:p>
        </w:tc>
        <w:tc>
          <w:tcPr>
            <w:tcW w:w="825" w:type="dxa"/>
            <w:vMerge w:val="continue"/>
            <w:tcBorders>
              <w:left w:val="single" w:color="000000" w:sz="4" w:space="0"/>
              <w:right w:val="single" w:color="000000" w:sz="4" w:space="0"/>
            </w:tcBorders>
            <w:noWrap w:val="0"/>
            <w:vAlign w:val="center"/>
          </w:tcPr>
          <w:p w14:paraId="69AC5028">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590" w:type="dxa"/>
            <w:vMerge w:val="continue"/>
            <w:tcBorders>
              <w:left w:val="single" w:color="000000" w:sz="4" w:space="0"/>
              <w:right w:val="single" w:color="000000" w:sz="4" w:space="0"/>
            </w:tcBorders>
            <w:noWrap w:val="0"/>
            <w:vAlign w:val="center"/>
          </w:tcPr>
          <w:p w14:paraId="5DFCC8F5">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725" w:type="dxa"/>
            <w:vMerge w:val="continue"/>
            <w:tcBorders>
              <w:left w:val="single" w:color="000000" w:sz="4" w:space="0"/>
              <w:right w:val="single" w:color="000000" w:sz="4" w:space="0"/>
            </w:tcBorders>
            <w:noWrap w:val="0"/>
            <w:vAlign w:val="center"/>
          </w:tcPr>
          <w:p w14:paraId="0008629D">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6C3BDE9A">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《水质阴离子表面活性剂的测定 亚甲蓝分光光度法》 GB 7494-1987</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838D79B">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0.05mg/L</w:t>
            </w:r>
          </w:p>
        </w:tc>
      </w:tr>
      <w:tr w14:paraId="735B6864">
        <w:tblPrEx>
          <w:tblCellMar>
            <w:top w:w="0" w:type="dxa"/>
            <w:left w:w="108" w:type="dxa"/>
            <w:bottom w:w="0" w:type="dxa"/>
            <w:right w:w="108" w:type="dxa"/>
          </w:tblCellMar>
        </w:tblPrEx>
        <w:trPr>
          <w:trHeight w:val="1001"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781B45">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291DD9C3">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五日生化需氧量(BOD</w:t>
            </w:r>
            <w:r>
              <w:rPr>
                <w:rFonts w:ascii="宋体" w:hAnsi="宋体" w:cs="宋体"/>
                <w:b w:val="0"/>
                <w:bCs w:val="0"/>
                <w:color w:val="000000" w:themeColor="text1"/>
                <w:sz w:val="24"/>
                <w:szCs w:val="24"/>
                <w:highlight w:val="none"/>
                <w:vertAlign w:val="subscript"/>
                <w:lang w:bidi="ar"/>
                <w14:textFill>
                  <w14:solidFill>
                    <w14:schemeClr w14:val="tx1"/>
                  </w14:solidFill>
                </w14:textFill>
              </w:rPr>
              <w:t>5</w:t>
            </w:r>
            <w:r>
              <w:rPr>
                <w:rFonts w:hint="eastAsia" w:ascii="宋体" w:hAnsi="宋体" w:cs="宋体"/>
                <w:b w:val="0"/>
                <w:bCs w:val="0"/>
                <w:color w:val="000000" w:themeColor="text1"/>
                <w:kern w:val="0"/>
                <w:sz w:val="24"/>
                <w:szCs w:val="24"/>
                <w:highlight w:val="none"/>
                <w:lang w:bidi="ar"/>
                <w14:textFill>
                  <w14:solidFill>
                    <w14:schemeClr w14:val="tx1"/>
                  </w14:solidFill>
                </w14:textFill>
              </w:rPr>
              <w:t>)</w:t>
            </w:r>
          </w:p>
        </w:tc>
        <w:tc>
          <w:tcPr>
            <w:tcW w:w="825" w:type="dxa"/>
            <w:vMerge w:val="continue"/>
            <w:tcBorders>
              <w:left w:val="single" w:color="000000" w:sz="4" w:space="0"/>
              <w:bottom w:val="single" w:color="000000" w:sz="4" w:space="0"/>
              <w:right w:val="single" w:color="000000" w:sz="4" w:space="0"/>
            </w:tcBorders>
            <w:noWrap w:val="0"/>
            <w:vAlign w:val="center"/>
          </w:tcPr>
          <w:p w14:paraId="23CBEE96">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590" w:type="dxa"/>
            <w:vMerge w:val="continue"/>
            <w:tcBorders>
              <w:left w:val="single" w:color="000000" w:sz="4" w:space="0"/>
              <w:bottom w:val="single" w:color="000000" w:sz="4" w:space="0"/>
              <w:right w:val="single" w:color="000000" w:sz="4" w:space="0"/>
            </w:tcBorders>
            <w:noWrap w:val="0"/>
            <w:vAlign w:val="center"/>
          </w:tcPr>
          <w:p w14:paraId="79D749A6">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725" w:type="dxa"/>
            <w:vMerge w:val="continue"/>
            <w:tcBorders>
              <w:left w:val="single" w:color="000000" w:sz="4" w:space="0"/>
              <w:bottom w:val="single" w:color="000000" w:sz="4" w:space="0"/>
              <w:right w:val="single" w:color="000000" w:sz="4" w:space="0"/>
            </w:tcBorders>
            <w:noWrap w:val="0"/>
            <w:vAlign w:val="center"/>
          </w:tcPr>
          <w:p w14:paraId="67E108CB">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1B42CB67">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《水质五日生化需氧量(BOD</w:t>
            </w:r>
            <w:r>
              <w:rPr>
                <w:rFonts w:ascii="宋体" w:hAnsi="宋体" w:cs="宋体"/>
                <w:b w:val="0"/>
                <w:bCs w:val="0"/>
                <w:color w:val="000000" w:themeColor="text1"/>
                <w:sz w:val="24"/>
                <w:szCs w:val="24"/>
                <w:highlight w:val="none"/>
                <w:vertAlign w:val="subscript"/>
                <w:lang w:bidi="ar"/>
                <w14:textFill>
                  <w14:solidFill>
                    <w14:schemeClr w14:val="tx1"/>
                  </w14:solidFill>
                </w14:textFill>
              </w:rPr>
              <w:t>5</w:t>
            </w:r>
            <w:r>
              <w:rPr>
                <w:rFonts w:hint="eastAsia" w:ascii="宋体" w:hAnsi="宋体" w:cs="宋体"/>
                <w:b w:val="0"/>
                <w:bCs w:val="0"/>
                <w:color w:val="000000" w:themeColor="text1"/>
                <w:kern w:val="0"/>
                <w:sz w:val="24"/>
                <w:szCs w:val="24"/>
                <w:highlight w:val="none"/>
                <w:lang w:bidi="ar"/>
                <w14:textFill>
                  <w14:solidFill>
                    <w14:schemeClr w14:val="tx1"/>
                  </w14:solidFill>
                </w14:textFill>
              </w:rPr>
              <w:t>)的测定 稀释与接种法》 HJ 505-2009</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AC7F4DD">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0.5mg/L</w:t>
            </w:r>
          </w:p>
        </w:tc>
      </w:tr>
      <w:tr w14:paraId="647E77A3">
        <w:tblPrEx>
          <w:tblCellMar>
            <w:top w:w="0" w:type="dxa"/>
            <w:left w:w="108" w:type="dxa"/>
            <w:bottom w:w="0" w:type="dxa"/>
            <w:right w:w="108" w:type="dxa"/>
          </w:tblCellMar>
        </w:tblPrEx>
        <w:trPr>
          <w:trHeight w:val="1001"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8D7486">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477D549D">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悬浮物</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DA5A3E6">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1 </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26A3A52D">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cs="宋体"/>
                <w:b w:val="0"/>
                <w:bCs w:val="0"/>
                <w:color w:val="000000" w:themeColor="text1"/>
                <w:kern w:val="0"/>
                <w:sz w:val="24"/>
                <w:szCs w:val="24"/>
                <w:highlight w:val="none"/>
                <w:lang w:eastAsia="zh-CN" w:bidi="ar"/>
                <w14:textFill>
                  <w14:solidFill>
                    <w14:schemeClr w14:val="tx1"/>
                  </w14:solidFill>
                </w14:textFill>
              </w:rPr>
              <w:t>年</w:t>
            </w: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104</w:t>
            </w:r>
            <w:r>
              <w:rPr>
                <w:rFonts w:hint="eastAsia" w:ascii="宋体" w:hAnsi="宋体" w:cs="宋体"/>
                <w:b w:val="0"/>
                <w:bCs w:val="0"/>
                <w:color w:val="000000" w:themeColor="text1"/>
                <w:kern w:val="0"/>
                <w:sz w:val="24"/>
                <w:szCs w:val="24"/>
                <w:highlight w:val="none"/>
                <w:lang w:eastAsia="zh-CN" w:bidi="ar"/>
                <w14:textFill>
                  <w14:solidFill>
                    <w14:schemeClr w14:val="tx1"/>
                  </w14:solidFill>
                </w14:textFill>
              </w:rPr>
              <w:t>次</w:t>
            </w:r>
            <w:r>
              <w:rPr>
                <w:rFonts w:hint="eastAsia" w:ascii="宋体" w:hAnsi="宋体" w:cs="宋体"/>
                <w:b w:val="0"/>
                <w:bCs w:val="0"/>
                <w:color w:val="000000" w:themeColor="text1"/>
                <w:kern w:val="0"/>
                <w:sz w:val="24"/>
                <w:szCs w:val="24"/>
                <w:highlight w:val="none"/>
                <w:lang w:bidi="ar"/>
                <w14:textFill>
                  <w14:solidFill>
                    <w14:schemeClr w14:val="tx1"/>
                  </w14:solidFill>
                </w14:textFill>
              </w:rPr>
              <w:t>（1次/周）</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EAE2C5A">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每4小时采样1次，一日至少采样3次</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4702FAC0">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《水质悬浮物的测定 重量法》GB 11901-1989</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8BFC45C">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4mg/L</w:t>
            </w:r>
          </w:p>
        </w:tc>
      </w:tr>
      <w:tr w14:paraId="6751F398">
        <w:tblPrEx>
          <w:tblCellMar>
            <w:top w:w="0" w:type="dxa"/>
            <w:left w:w="108" w:type="dxa"/>
            <w:bottom w:w="0" w:type="dxa"/>
            <w:right w:w="108" w:type="dxa"/>
          </w:tblCellMar>
        </w:tblPrEx>
        <w:trPr>
          <w:trHeight w:val="1001"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27D8B2">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3E2FB151">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化学需氧量</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FC0940D">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25D226A">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7E618E3">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274D2931">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《水质化学需氧量的测定 重铬酸盐法》 HJ 828-2017     </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57A61287">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4mg/L</w:t>
            </w:r>
          </w:p>
        </w:tc>
      </w:tr>
      <w:tr w14:paraId="6C023F97">
        <w:tblPrEx>
          <w:tblCellMar>
            <w:top w:w="0" w:type="dxa"/>
            <w:left w:w="108" w:type="dxa"/>
            <w:bottom w:w="0" w:type="dxa"/>
            <w:right w:w="108" w:type="dxa"/>
          </w:tblCellMar>
        </w:tblPrEx>
        <w:trPr>
          <w:trHeight w:val="1001"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601ADD">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0CA71F38">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粪大肠菌群    </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92D9CBB">
            <w:pPr>
              <w:widowControl/>
              <w:spacing w:line="500" w:lineRule="exact"/>
              <w:ind w:right="200"/>
              <w:jc w:val="right"/>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1 </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2F122BFB">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2年24次</w:t>
            </w:r>
            <w:r>
              <w:rPr>
                <w:rFonts w:hint="eastAsia" w:ascii="宋体" w:hAnsi="宋体" w:cs="宋体"/>
                <w:b w:val="0"/>
                <w:bCs w:val="0"/>
                <w:color w:val="000000" w:themeColor="text1"/>
                <w:kern w:val="0"/>
                <w:sz w:val="24"/>
                <w:szCs w:val="24"/>
                <w:highlight w:val="none"/>
                <w:lang w:bidi="ar"/>
                <w14:textFill>
                  <w14:solidFill>
                    <w14:schemeClr w14:val="tx1"/>
                  </w14:solidFill>
                </w14:textFill>
              </w:rPr>
              <w:t>（1次/月）</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CE79EAC">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每4小时采样1次，一日至少采样3次</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6D7F5F02">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《水质总大肠菌群和粪大肠菌群的测定 纸片快速法》HJ 755-2015</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5E9C64E">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20MPN/L </w:t>
            </w:r>
          </w:p>
        </w:tc>
      </w:tr>
      <w:tr w14:paraId="4D50C36C">
        <w:tblPrEx>
          <w:tblCellMar>
            <w:top w:w="0" w:type="dxa"/>
            <w:left w:w="108" w:type="dxa"/>
            <w:bottom w:w="0" w:type="dxa"/>
            <w:right w:w="108" w:type="dxa"/>
          </w:tblCellMar>
        </w:tblPrEx>
        <w:trPr>
          <w:trHeight w:val="1496" w:hRule="atLeast"/>
        </w:trPr>
        <w:tc>
          <w:tcPr>
            <w:tcW w:w="1253" w:type="dxa"/>
            <w:vMerge w:val="restart"/>
            <w:tcBorders>
              <w:top w:val="single" w:color="000000" w:sz="4" w:space="0"/>
              <w:left w:val="single" w:color="000000" w:sz="4" w:space="0"/>
              <w:bottom w:val="single" w:color="000000" w:sz="4" w:space="0"/>
              <w:right w:val="single" w:color="000000" w:sz="4" w:space="0"/>
            </w:tcBorders>
            <w:noWrap w:val="0"/>
            <w:vAlign w:val="center"/>
          </w:tcPr>
          <w:p w14:paraId="797E66EE">
            <w:pPr>
              <w:widowControl/>
              <w:spacing w:line="500" w:lineRule="exact"/>
              <w:jc w:val="center"/>
              <w:textAlignment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厂界无组织</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725ABD8A">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硫化氢</w:t>
            </w:r>
          </w:p>
        </w:tc>
        <w:tc>
          <w:tcPr>
            <w:tcW w:w="825" w:type="dxa"/>
            <w:tcBorders>
              <w:top w:val="single" w:color="000000" w:sz="4" w:space="0"/>
              <w:left w:val="single" w:color="000000" w:sz="4" w:space="0"/>
              <w:bottom w:val="single" w:color="auto" w:sz="4" w:space="0"/>
              <w:right w:val="single" w:color="000000" w:sz="4" w:space="0"/>
            </w:tcBorders>
            <w:noWrap w:val="0"/>
            <w:vAlign w:val="center"/>
          </w:tcPr>
          <w:p w14:paraId="0A31E46B">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4 </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1E25194">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2年8</w:t>
            </w:r>
            <w:r>
              <w:rPr>
                <w:rFonts w:hint="eastAsia" w:ascii="宋体" w:hAnsi="宋体" w:cs="宋体"/>
                <w:b w:val="0"/>
                <w:bCs w:val="0"/>
                <w:color w:val="000000" w:themeColor="text1"/>
                <w:kern w:val="0"/>
                <w:sz w:val="24"/>
                <w:szCs w:val="24"/>
                <w:highlight w:val="none"/>
                <w:lang w:eastAsia="zh-CN" w:bidi="ar"/>
                <w14:textFill>
                  <w14:solidFill>
                    <w14:schemeClr w14:val="tx1"/>
                  </w14:solidFill>
                </w14:textFill>
              </w:rPr>
              <w:t>次</w:t>
            </w:r>
            <w:r>
              <w:rPr>
                <w:rFonts w:hint="eastAsia" w:ascii="宋体" w:hAnsi="宋体" w:cs="宋体"/>
                <w:b w:val="0"/>
                <w:bCs w:val="0"/>
                <w:color w:val="000000" w:themeColor="text1"/>
                <w:kern w:val="0"/>
                <w:sz w:val="24"/>
                <w:szCs w:val="24"/>
                <w:highlight w:val="none"/>
                <w:lang w:bidi="ar"/>
                <w14:textFill>
                  <w14:solidFill>
                    <w14:schemeClr w14:val="tx1"/>
                  </w14:solidFill>
                </w14:textFill>
              </w:rPr>
              <w:t>（1次/季度）</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A00A481">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bookmarkStart w:id="28" w:name="_GoBack"/>
            <w:r>
              <w:rPr>
                <w:rFonts w:hint="eastAsia" w:ascii="宋体" w:hAnsi="宋体" w:cs="宋体"/>
                <w:b w:val="0"/>
                <w:bCs w:val="0"/>
                <w:color w:val="000000" w:themeColor="text1"/>
                <w:sz w:val="24"/>
                <w:szCs w:val="24"/>
                <w:highlight w:val="yellow"/>
                <w14:textFill>
                  <w14:solidFill>
                    <w14:schemeClr w14:val="tx1"/>
                  </w14:solidFill>
                </w14:textFill>
              </w:rPr>
              <w:t>每2小时采样一次，一日至少4次</w:t>
            </w:r>
            <w:bookmarkEnd w:id="28"/>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549BA039">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国家环保总局编《空气和废气监测分析方法》（第四版增补版）第三篇 第一章 第十一条（二）亚甲基蓝分光光度法（B）</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617615D">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0.001mg/m³</w:t>
            </w:r>
          </w:p>
        </w:tc>
      </w:tr>
      <w:tr w14:paraId="3A0E07B6">
        <w:tblPrEx>
          <w:tblCellMar>
            <w:top w:w="0" w:type="dxa"/>
            <w:left w:w="108" w:type="dxa"/>
            <w:bottom w:w="0" w:type="dxa"/>
            <w:right w:w="108" w:type="dxa"/>
          </w:tblCellMar>
        </w:tblPrEx>
        <w:trPr>
          <w:trHeight w:val="1001"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D820DA">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auto" w:sz="4" w:space="0"/>
            </w:tcBorders>
            <w:noWrap w:val="0"/>
            <w:vAlign w:val="center"/>
          </w:tcPr>
          <w:p w14:paraId="519D1B61">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臭气浓度</w:t>
            </w:r>
          </w:p>
        </w:tc>
        <w:tc>
          <w:tcPr>
            <w:tcW w:w="825" w:type="dxa"/>
            <w:vMerge w:val="restart"/>
            <w:tcBorders>
              <w:top w:val="single" w:color="auto" w:sz="4" w:space="0"/>
              <w:left w:val="single" w:color="auto" w:sz="4" w:space="0"/>
              <w:bottom w:val="single" w:color="auto" w:sz="4" w:space="0"/>
              <w:right w:val="single" w:color="auto" w:sz="4" w:space="0"/>
            </w:tcBorders>
            <w:noWrap w:val="0"/>
            <w:vAlign w:val="center"/>
          </w:tcPr>
          <w:p w14:paraId="276B7E21">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1590" w:type="dxa"/>
            <w:tcBorders>
              <w:top w:val="single" w:color="000000" w:sz="4" w:space="0"/>
              <w:left w:val="single" w:color="auto" w:sz="4" w:space="0"/>
              <w:bottom w:val="single" w:color="000000" w:sz="4" w:space="0"/>
              <w:right w:val="single" w:color="000000" w:sz="4" w:space="0"/>
            </w:tcBorders>
            <w:noWrap w:val="0"/>
            <w:vAlign w:val="center"/>
          </w:tcPr>
          <w:p w14:paraId="466D58CE">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AF8CC07">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77ECE90E">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《空气质量恶臭的测定 三点比较式臭袋法》GB/T 14675-1993</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E953069">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w:t>
            </w:r>
          </w:p>
        </w:tc>
      </w:tr>
      <w:tr w14:paraId="04C861B7">
        <w:tblPrEx>
          <w:tblCellMar>
            <w:top w:w="0" w:type="dxa"/>
            <w:left w:w="108" w:type="dxa"/>
            <w:bottom w:w="0" w:type="dxa"/>
            <w:right w:w="108" w:type="dxa"/>
          </w:tblCellMar>
        </w:tblPrEx>
        <w:trPr>
          <w:trHeight w:val="1001"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618856">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auto" w:sz="4" w:space="0"/>
            </w:tcBorders>
            <w:noWrap w:val="0"/>
            <w:vAlign w:val="center"/>
          </w:tcPr>
          <w:p w14:paraId="59B7B6AC">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氨</w:t>
            </w:r>
          </w:p>
        </w:tc>
        <w:tc>
          <w:tcPr>
            <w:tcW w:w="825" w:type="dxa"/>
            <w:vMerge w:val="continue"/>
            <w:tcBorders>
              <w:top w:val="single" w:color="auto" w:sz="4" w:space="0"/>
              <w:left w:val="single" w:color="auto" w:sz="4" w:space="0"/>
              <w:bottom w:val="single" w:color="auto" w:sz="4" w:space="0"/>
              <w:right w:val="single" w:color="auto" w:sz="4" w:space="0"/>
            </w:tcBorders>
            <w:noWrap w:val="0"/>
            <w:vAlign w:val="center"/>
          </w:tcPr>
          <w:p w14:paraId="135630FF">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590" w:type="dxa"/>
            <w:tcBorders>
              <w:top w:val="single" w:color="000000" w:sz="4" w:space="0"/>
              <w:left w:val="single" w:color="auto" w:sz="4" w:space="0"/>
              <w:bottom w:val="single" w:color="000000" w:sz="4" w:space="0"/>
              <w:right w:val="single" w:color="000000" w:sz="4" w:space="0"/>
            </w:tcBorders>
            <w:noWrap w:val="0"/>
            <w:vAlign w:val="center"/>
          </w:tcPr>
          <w:p w14:paraId="6387C002">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3AA91B5">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2B4574D5">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《环境空气和废气 氨的测定 纳氏试剂分光光度法》HJ533-2009</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8FCD136">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0.01mg/m³  </w:t>
            </w:r>
          </w:p>
        </w:tc>
      </w:tr>
      <w:tr w14:paraId="3963B704">
        <w:tblPrEx>
          <w:tblCellMar>
            <w:top w:w="0" w:type="dxa"/>
            <w:left w:w="108" w:type="dxa"/>
            <w:bottom w:w="0" w:type="dxa"/>
            <w:right w:w="108" w:type="dxa"/>
          </w:tblCellMar>
        </w:tblPrEx>
        <w:trPr>
          <w:trHeight w:val="605" w:hRule="atLeast"/>
        </w:trPr>
        <w:tc>
          <w:tcPr>
            <w:tcW w:w="12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75CFD9">
            <w:pPr>
              <w:spacing w:line="500" w:lineRule="exact"/>
              <w:jc w:val="center"/>
              <w:rPr>
                <w:rFonts w:hint="eastAsia" w:ascii="宋体" w:hAnsi="宋体" w:cs="宋体"/>
                <w:color w:val="000000" w:themeColor="text1"/>
                <w:sz w:val="24"/>
                <w:szCs w:val="24"/>
                <w:highlight w:val="none"/>
                <w14:textFill>
                  <w14:solidFill>
                    <w14:schemeClr w14:val="tx1"/>
                  </w14:solidFill>
                </w14:textFill>
              </w:rPr>
            </w:pPr>
          </w:p>
        </w:tc>
        <w:tc>
          <w:tcPr>
            <w:tcW w:w="1218" w:type="dxa"/>
            <w:tcBorders>
              <w:top w:val="single" w:color="000000" w:sz="4" w:space="0"/>
              <w:left w:val="single" w:color="000000" w:sz="4" w:space="0"/>
              <w:bottom w:val="single" w:color="000000" w:sz="4" w:space="0"/>
              <w:right w:val="single" w:color="auto" w:sz="4" w:space="0"/>
            </w:tcBorders>
            <w:noWrap w:val="0"/>
            <w:vAlign w:val="center"/>
          </w:tcPr>
          <w:p w14:paraId="4E7BEF71">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甲烷</w:t>
            </w:r>
          </w:p>
        </w:tc>
        <w:tc>
          <w:tcPr>
            <w:tcW w:w="825" w:type="dxa"/>
            <w:vMerge w:val="continue"/>
            <w:tcBorders>
              <w:top w:val="single" w:color="auto" w:sz="4" w:space="0"/>
              <w:left w:val="single" w:color="auto" w:sz="4" w:space="0"/>
              <w:bottom w:val="single" w:color="auto" w:sz="4" w:space="0"/>
              <w:right w:val="single" w:color="auto" w:sz="4" w:space="0"/>
            </w:tcBorders>
            <w:noWrap w:val="0"/>
            <w:vAlign w:val="center"/>
          </w:tcPr>
          <w:p w14:paraId="7BBBFF5D">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c>
          <w:tcPr>
            <w:tcW w:w="1590" w:type="dxa"/>
            <w:tcBorders>
              <w:top w:val="single" w:color="000000" w:sz="4" w:space="0"/>
              <w:left w:val="single" w:color="auto" w:sz="4" w:space="0"/>
              <w:bottom w:val="single" w:color="000000" w:sz="4" w:space="0"/>
              <w:right w:val="single" w:color="000000" w:sz="4" w:space="0"/>
            </w:tcBorders>
            <w:noWrap w:val="0"/>
            <w:vAlign w:val="center"/>
          </w:tcPr>
          <w:p w14:paraId="32607875">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E08FB86">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54B72AC2">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HJ604-2017</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9DB5BAC">
            <w:pPr>
              <w:spacing w:line="500" w:lineRule="exact"/>
              <w:jc w:val="center"/>
              <w:rPr>
                <w:rFonts w:hint="eastAsia" w:ascii="宋体" w:hAnsi="宋体" w:cs="宋体"/>
                <w:b w:val="0"/>
                <w:bCs w:val="0"/>
                <w:color w:val="000000" w:themeColor="text1"/>
                <w:sz w:val="24"/>
                <w:szCs w:val="24"/>
                <w:highlight w:val="none"/>
                <w14:textFill>
                  <w14:solidFill>
                    <w14:schemeClr w14:val="tx1"/>
                  </w14:solidFill>
                </w14:textFill>
              </w:rPr>
            </w:pPr>
          </w:p>
        </w:tc>
      </w:tr>
      <w:tr w14:paraId="6C76583F">
        <w:tblPrEx>
          <w:tblCellMar>
            <w:top w:w="0" w:type="dxa"/>
            <w:left w:w="108" w:type="dxa"/>
            <w:bottom w:w="0" w:type="dxa"/>
            <w:right w:w="108" w:type="dxa"/>
          </w:tblCellMar>
        </w:tblPrEx>
        <w:trPr>
          <w:trHeight w:val="1010" w:hRule="atLeast"/>
        </w:trPr>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8D9CD64">
            <w:pPr>
              <w:widowControl/>
              <w:spacing w:line="500" w:lineRule="exact"/>
              <w:jc w:val="left"/>
              <w:textAlignment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厂界四周</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6E77B8DD">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厂界环境噪声</w:t>
            </w:r>
          </w:p>
        </w:tc>
        <w:tc>
          <w:tcPr>
            <w:tcW w:w="825" w:type="dxa"/>
            <w:tcBorders>
              <w:top w:val="single" w:color="auto" w:sz="4" w:space="0"/>
              <w:left w:val="single" w:color="000000" w:sz="4" w:space="0"/>
              <w:bottom w:val="single" w:color="000000" w:sz="4" w:space="0"/>
              <w:right w:val="single" w:color="000000" w:sz="4" w:space="0"/>
            </w:tcBorders>
            <w:noWrap w:val="0"/>
            <w:vAlign w:val="center"/>
          </w:tcPr>
          <w:p w14:paraId="2B98A500">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 xml:space="preserve">4 </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291B64B7">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2年8</w:t>
            </w:r>
            <w:r>
              <w:rPr>
                <w:rFonts w:hint="eastAsia" w:ascii="宋体" w:hAnsi="宋体" w:cs="宋体"/>
                <w:b w:val="0"/>
                <w:bCs w:val="0"/>
                <w:color w:val="000000" w:themeColor="text1"/>
                <w:kern w:val="0"/>
                <w:sz w:val="24"/>
                <w:szCs w:val="24"/>
                <w:highlight w:val="none"/>
                <w:lang w:eastAsia="zh-CN" w:bidi="ar"/>
                <w14:textFill>
                  <w14:solidFill>
                    <w14:schemeClr w14:val="tx1"/>
                  </w14:solidFill>
                </w14:textFill>
              </w:rPr>
              <w:t>次</w:t>
            </w:r>
            <w:r>
              <w:rPr>
                <w:rFonts w:hint="eastAsia" w:ascii="宋体" w:hAnsi="宋体" w:cs="宋体"/>
                <w:b w:val="0"/>
                <w:bCs w:val="0"/>
                <w:color w:val="000000" w:themeColor="text1"/>
                <w:kern w:val="0"/>
                <w:sz w:val="24"/>
                <w:szCs w:val="24"/>
                <w:highlight w:val="none"/>
                <w:lang w:bidi="ar"/>
                <w14:textFill>
                  <w14:solidFill>
                    <w14:schemeClr w14:val="tx1"/>
                  </w14:solidFill>
                </w14:textFill>
              </w:rPr>
              <w:t>（1次/季度）</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794F9BA">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连续2昼夜</w:t>
            </w:r>
          </w:p>
        </w:tc>
        <w:tc>
          <w:tcPr>
            <w:tcW w:w="2565" w:type="dxa"/>
            <w:tcBorders>
              <w:top w:val="single" w:color="000000" w:sz="4" w:space="0"/>
              <w:left w:val="single" w:color="000000" w:sz="4" w:space="0"/>
              <w:bottom w:val="single" w:color="000000" w:sz="4" w:space="0"/>
              <w:right w:val="single" w:color="000000" w:sz="4" w:space="0"/>
            </w:tcBorders>
            <w:noWrap w:val="0"/>
            <w:vAlign w:val="center"/>
          </w:tcPr>
          <w:p w14:paraId="3DBD0D57">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《工业企业厂界环境噪声排放标准》GB 12348-2008</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65C2CDFC">
            <w:pPr>
              <w:widowControl/>
              <w:spacing w:line="500" w:lineRule="exact"/>
              <w:jc w:val="center"/>
              <w:textAlignment w:val="center"/>
              <w:rPr>
                <w:rFonts w:hint="eastAsia"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kern w:val="0"/>
                <w:sz w:val="24"/>
                <w:szCs w:val="24"/>
                <w:highlight w:val="none"/>
                <w:lang w:bidi="ar"/>
                <w14:textFill>
                  <w14:solidFill>
                    <w14:schemeClr w14:val="tx1"/>
                  </w14:solidFill>
                </w14:textFill>
              </w:rPr>
              <w:t>/</w:t>
            </w:r>
          </w:p>
        </w:tc>
      </w:tr>
    </w:tbl>
    <w:p w14:paraId="27EF1256">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b/>
          <w:bCs w:val="0"/>
          <w:color w:val="000000" w:themeColor="text1"/>
          <w:sz w:val="24"/>
          <w:szCs w:val="24"/>
          <w:highlight w:val="none"/>
          <w:lang w:val="zh-CN" w:eastAsia="zh-CN"/>
          <w14:textFill>
            <w14:solidFill>
              <w14:schemeClr w14:val="tx1"/>
            </w14:solidFill>
          </w14:textFill>
        </w:rPr>
      </w:pPr>
      <w:r>
        <w:rPr>
          <w:rFonts w:hint="eastAsia" w:ascii="宋体" w:hAnsi="宋体" w:eastAsia="宋体" w:cs="Times New Roman"/>
          <w:b/>
          <w:bCs w:val="0"/>
          <w:color w:val="000000" w:themeColor="text1"/>
          <w:sz w:val="24"/>
          <w:szCs w:val="24"/>
          <w:highlight w:val="none"/>
          <w:lang w:val="en-US" w:eastAsia="zh-CN"/>
          <w14:textFill>
            <w14:solidFill>
              <w14:schemeClr w14:val="tx1"/>
            </w14:solidFill>
          </w14:textFill>
        </w:rPr>
        <w:t>三）</w:t>
      </w:r>
      <w:r>
        <w:rPr>
          <w:rFonts w:hint="eastAsia" w:ascii="宋体" w:hAnsi="宋体" w:eastAsia="宋体" w:cs="Times New Roman"/>
          <w:b/>
          <w:bCs w:val="0"/>
          <w:color w:val="000000" w:themeColor="text1"/>
          <w:sz w:val="24"/>
          <w:szCs w:val="24"/>
          <w:highlight w:val="none"/>
          <w:lang w:val="zh-CN" w:eastAsia="zh-CN"/>
          <w14:textFill>
            <w14:solidFill>
              <w14:schemeClr w14:val="tx1"/>
            </w14:solidFill>
          </w14:textFill>
        </w:rPr>
        <w:t>交付地点、方式</w:t>
      </w:r>
    </w:p>
    <w:p w14:paraId="4A29455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Cs/>
          <w:color w:val="000000" w:themeColor="text1"/>
          <w:sz w:val="24"/>
          <w:szCs w:val="24"/>
          <w:highlight w:val="none"/>
          <w:lang w:val="zh-CN" w:eastAsia="zh-CN"/>
          <w14:textFill>
            <w14:solidFill>
              <w14:schemeClr w14:val="tx1"/>
            </w14:solidFill>
          </w14:textFill>
        </w:rPr>
      </w:pPr>
      <w:r>
        <w:rPr>
          <w:rFonts w:hint="eastAsia" w:ascii="宋体" w:hAnsi="宋体" w:eastAsia="宋体" w:cs="Times New Roman"/>
          <w:bCs/>
          <w:color w:val="000000" w:themeColor="text1"/>
          <w:sz w:val="24"/>
          <w:szCs w:val="24"/>
          <w:highlight w:val="none"/>
          <w:lang w:val="zh-CN" w:eastAsia="zh-CN"/>
          <w14:textFill>
            <w14:solidFill>
              <w14:schemeClr w14:val="tx1"/>
            </w14:solidFill>
          </w14:textFill>
        </w:rPr>
        <w:t>（一）交付地点：龙岩市第三医院采购人指定位置。</w:t>
      </w:r>
    </w:p>
    <w:p w14:paraId="71467A11">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eastAsia="宋体" w:cs="Times New Roman"/>
          <w:bCs/>
          <w:color w:val="000000" w:themeColor="text1"/>
          <w:sz w:val="24"/>
          <w:szCs w:val="24"/>
          <w:highlight w:val="none"/>
          <w:lang w:val="zh-CN" w:eastAsia="zh-CN"/>
          <w14:textFill>
            <w14:solidFill>
              <w14:schemeClr w14:val="tx1"/>
            </w14:solidFill>
          </w14:textFill>
        </w:rPr>
        <w:t>（二）交付方式：成交供应商采完样品检测结束后,成交供应商应先将检测结果用电子版发给采购人进行复核，采购人在15个工作日内完成实际情况复核，复核后成交供应商在15个工作日内将报告与发票邮寄给采购人项目负责人。</w:t>
      </w:r>
    </w:p>
    <w:p w14:paraId="2AA1E6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cs="宋体"/>
          <w:b/>
          <w:bCs/>
          <w:color w:val="000000" w:themeColor="text1"/>
          <w:sz w:val="24"/>
          <w:highlight w:val="none"/>
          <w14:textFill>
            <w14:solidFill>
              <w14:schemeClr w14:val="tx1"/>
            </w14:solidFill>
          </w14:textFill>
        </w:rPr>
        <w:t>、付款方式</w:t>
      </w:r>
    </w:p>
    <w:p w14:paraId="58272FB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（一）合同签定后，本项目按季度进行支付检测服务费，即每季度（3个月）支付一次。</w:t>
      </w:r>
    </w:p>
    <w:p w14:paraId="02E7719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（二）每季度末，成交供应商在提交完当季度的纸质版报告后7个工作日内，采购人付清当季度全额检测费。</w:t>
      </w:r>
    </w:p>
    <w:p w14:paraId="4DF6876B">
      <w:pPr>
        <w:pStyle w:val="2"/>
        <w:numPr>
          <w:ilvl w:val="0"/>
          <w:numId w:val="0"/>
        </w:numPr>
        <w:rPr>
          <w:rFonts w:hint="eastAsia"/>
          <w:color w:val="000000" w:themeColor="text1"/>
          <w:lang w:eastAsia="zh-CN"/>
          <w14:textFill>
            <w14:solidFill>
              <w14:schemeClr w14:val="tx1"/>
            </w14:solidFill>
          </w14:textFill>
        </w:rPr>
      </w:pPr>
    </w:p>
    <w:p w14:paraId="4D1AED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四、报价要求</w:t>
      </w:r>
    </w:p>
    <w:p w14:paraId="5A6105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1.竞价</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截止</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时间</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前，供应商可对竞价项目进行单次或多次报价，网络接受的报价为供应商最后一次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提交</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的报价</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供应商上传的报价表</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报价</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必须</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与系统</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客户端</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最后一次</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填报</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的报价一致</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否则为无效竞价</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。供应商应当谨慎报价，因报价不慎而出现的不利后果由供应商自行承担。</w:t>
      </w:r>
    </w:p>
    <w:p w14:paraId="549C90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480" w:firstLineChars="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采购结果公告前，对参与报价供应商家数、各供应商的报价等情况，均无法查看。采购结果公告后，所有参与报价的供应商均可通过用户名和密码</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登录</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后台查看参与报价的供应商名称、总报价。</w:t>
      </w:r>
    </w:p>
    <w:p w14:paraId="0B6220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3.供应商应在竞价过程时按下述格式编制按PDF格式以附件形式上传。未按要求编制上传或上传材料不齐的，视为未实质性满足竞价文件，竞价无效。</w:t>
      </w:r>
    </w:p>
    <w:p w14:paraId="73B894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4.供应商</w:t>
      </w:r>
      <w:r>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t>应以包括项目所涉及的有关所有费用进行报价</w:t>
      </w:r>
      <w:r>
        <w:rPr>
          <w:rFonts w:hint="eastAsia" w:asciiTheme="minorEastAsia" w:hAnsiTheme="minorEastAsia" w:cstheme="minorEastAsia"/>
          <w:color w:val="000000" w:themeColor="text1"/>
          <w:sz w:val="24"/>
          <w:szCs w:val="24"/>
          <w:highlight w:val="none"/>
          <w:lang w:val="zh-CN"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t>采购人不再支付其他费用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4C4BAC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firstLine="240" w:firstLineChars="100"/>
        <w:jc w:val="left"/>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报价表格式如下：</w:t>
      </w:r>
    </w:p>
    <w:p w14:paraId="109226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bidi w:val="0"/>
        <w:spacing w:before="0" w:beforeAutospacing="0" w:after="0" w:afterAutospacing="0" w:line="360" w:lineRule="auto"/>
        <w:ind w:left="200" w:right="200" w:firstLine="0"/>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w:t>
      </w:r>
      <w:r>
        <w:rPr>
          <w:rFonts w:hint="eastAsia" w:asciiTheme="minorEastAsia" w:hAnsiTheme="minorEastAsia" w:eastAsiaTheme="minorEastAsia" w:cstheme="minorEastAsia"/>
          <w:color w:val="000000" w:themeColor="text1"/>
          <w:kern w:val="2"/>
          <w:sz w:val="24"/>
          <w:szCs w:val="24"/>
          <w:highlight w:val="none"/>
          <w:u w:val="single"/>
          <w:lang w:val="en-US" w:eastAsia="zh-CN" w:bidi="ar-SA"/>
          <w14:textFill>
            <w14:solidFill>
              <w14:schemeClr w14:val="tx1"/>
            </w14:solidFill>
          </w14:textFill>
        </w:rPr>
        <w:t>      </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项目报价表</w:t>
      </w:r>
    </w:p>
    <w:tbl>
      <w:tblPr>
        <w:tblStyle w:val="12"/>
        <w:tblW w:w="4707" w:type="pct"/>
        <w:tblCellSpacing w:w="1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15" w:type="dxa"/>
          <w:left w:w="15" w:type="dxa"/>
          <w:bottom w:w="15" w:type="dxa"/>
          <w:right w:w="15" w:type="dxa"/>
        </w:tblCellMar>
      </w:tblPr>
      <w:tblGrid>
        <w:gridCol w:w="1636"/>
        <w:gridCol w:w="6447"/>
      </w:tblGrid>
      <w:tr w14:paraId="7CDAF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590" w:hRule="atLeast"/>
          <w:tblCellSpacing w:w="15" w:type="dxa"/>
        </w:trPr>
        <w:tc>
          <w:tcPr>
            <w:tcW w:w="985" w:type="pct"/>
            <w:noWrap w:val="0"/>
            <w:tcMar>
              <w:top w:w="0" w:type="dxa"/>
              <w:left w:w="105" w:type="dxa"/>
              <w:bottom w:w="0" w:type="dxa"/>
              <w:right w:w="105" w:type="dxa"/>
            </w:tcMar>
            <w:vAlign w:val="center"/>
          </w:tcPr>
          <w:p w14:paraId="4D5CC545">
            <w:pPr>
              <w:keepNext w:val="0"/>
              <w:keepLines w:val="0"/>
              <w:pageBreakBefore w:val="0"/>
              <w:widowControl/>
              <w:kinsoku/>
              <w:wordWrap/>
              <w:overflowPunct/>
              <w:topLinePunct w:val="0"/>
              <w:bidi w:val="0"/>
              <w:spacing w:before="100" w:beforeAutospacing="1" w:after="100" w:afterAutospacing="1" w:line="360" w:lineRule="auto"/>
              <w:jc w:val="center"/>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合同包</w:t>
            </w:r>
          </w:p>
        </w:tc>
        <w:tc>
          <w:tcPr>
            <w:tcW w:w="3963" w:type="pct"/>
            <w:noWrap w:val="0"/>
            <w:tcMar>
              <w:top w:w="0" w:type="dxa"/>
              <w:left w:w="105" w:type="dxa"/>
              <w:bottom w:w="0" w:type="dxa"/>
              <w:right w:w="105" w:type="dxa"/>
            </w:tcMar>
            <w:vAlign w:val="center"/>
          </w:tcPr>
          <w:p w14:paraId="3CB76FBC">
            <w:pPr>
              <w:keepNext w:val="0"/>
              <w:keepLines w:val="0"/>
              <w:pageBreakBefore w:val="0"/>
              <w:widowControl/>
              <w:kinsoku/>
              <w:wordWrap/>
              <w:overflowPunct/>
              <w:topLinePunct w:val="0"/>
              <w:bidi w:val="0"/>
              <w:spacing w:before="100" w:beforeAutospacing="1" w:after="100" w:afterAutospacing="1" w:line="360" w:lineRule="auto"/>
              <w:jc w:val="center"/>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cstheme="minorEastAsia"/>
                <w:color w:val="000000" w:themeColor="text1"/>
                <w:kern w:val="0"/>
                <w:sz w:val="24"/>
                <w:szCs w:val="24"/>
                <w:u w:val="single"/>
                <w:lang w:val="en-US" w:eastAsia="zh-CN"/>
                <w14:textFill>
                  <w14:solidFill>
                    <w14:schemeClr w14:val="tx1"/>
                  </w14:solidFill>
                </w14:textFill>
              </w:rPr>
              <w:t xml:space="preserve">          </w:t>
            </w:r>
            <w:r>
              <w:rPr>
                <w:rFonts w:hint="eastAsia" w:asciiTheme="minorEastAsia" w:hAnsiTheme="minorEastAsia" w:cstheme="minorEastAsia"/>
                <w:color w:val="000000" w:themeColor="text1"/>
                <w:kern w:val="0"/>
                <w:sz w:val="24"/>
                <w:szCs w:val="24"/>
                <w:u w:val="none"/>
                <w:lang w:val="en-US" w:eastAsia="zh-CN"/>
                <w14:textFill>
                  <w14:solidFill>
                    <w14:schemeClr w14:val="tx1"/>
                  </w14:solidFill>
                </w14:textFill>
              </w:rPr>
              <w:t>项目</w:t>
            </w:r>
            <w:r>
              <w:rPr>
                <w:rFonts w:hint="eastAsia" w:asciiTheme="minorEastAsia" w:hAnsiTheme="minorEastAsia" w:cstheme="minorEastAsia"/>
                <w:color w:val="000000" w:themeColor="text1"/>
                <w:kern w:val="0"/>
                <w:sz w:val="24"/>
                <w:szCs w:val="24"/>
                <w:lang w:eastAsia="zh-CN"/>
                <w14:textFill>
                  <w14:solidFill>
                    <w14:schemeClr w14:val="tx1"/>
                  </w14:solidFill>
                </w14:textFill>
              </w:rPr>
              <w:t>报价表</w:t>
            </w:r>
          </w:p>
        </w:tc>
      </w:tr>
      <w:tr w14:paraId="5DB25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3061" w:hRule="atLeast"/>
          <w:tblCellSpacing w:w="15" w:type="dxa"/>
        </w:trPr>
        <w:tc>
          <w:tcPr>
            <w:tcW w:w="985" w:type="pct"/>
            <w:noWrap w:val="0"/>
            <w:tcMar>
              <w:top w:w="0" w:type="dxa"/>
              <w:left w:w="105" w:type="dxa"/>
              <w:bottom w:w="0" w:type="dxa"/>
              <w:right w:w="105" w:type="dxa"/>
            </w:tcMar>
            <w:vAlign w:val="center"/>
          </w:tcPr>
          <w:p w14:paraId="774C4A31">
            <w:pPr>
              <w:keepNext w:val="0"/>
              <w:keepLines w:val="0"/>
              <w:pageBreakBefore w:val="0"/>
              <w:widowControl/>
              <w:kinsoku/>
              <w:wordWrap/>
              <w:overflowPunct/>
              <w:topLinePunct w:val="0"/>
              <w:bidi w:val="0"/>
              <w:spacing w:before="100" w:beforeAutospacing="1" w:after="100" w:afterAutospacing="1" w:line="360" w:lineRule="auto"/>
              <w:jc w:val="center"/>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1</w:t>
            </w:r>
          </w:p>
        </w:tc>
        <w:tc>
          <w:tcPr>
            <w:tcW w:w="3963" w:type="pct"/>
            <w:noWrap w:val="0"/>
            <w:tcMar>
              <w:top w:w="0" w:type="dxa"/>
              <w:left w:w="105" w:type="dxa"/>
              <w:bottom w:w="0" w:type="dxa"/>
              <w:right w:w="105" w:type="dxa"/>
            </w:tcMar>
            <w:vAlign w:val="center"/>
          </w:tcPr>
          <w:p w14:paraId="3F370D7D">
            <w:pPr>
              <w:keepNext w:val="0"/>
              <w:keepLines w:val="0"/>
              <w:pageBreakBefore w:val="0"/>
              <w:widowControl/>
              <w:kinsoku/>
              <w:wordWrap/>
              <w:overflowPunct/>
              <w:topLinePunct w:val="0"/>
              <w:autoSpaceDE/>
              <w:autoSpaceDN/>
              <w:bidi w:val="0"/>
              <w:adjustRightInd/>
              <w:snapToGrid/>
              <w:spacing w:before="163" w:beforeLines="50" w:beforeAutospacing="0" w:after="100" w:afterAutospacing="1"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项目名称：</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7207F80F">
            <w:pPr>
              <w:pStyle w:val="17"/>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color w:val="000000" w:themeColor="text1"/>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项目编号：</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51802012">
            <w:pPr>
              <w:keepNext w:val="0"/>
              <w:keepLines w:val="0"/>
              <w:pageBreakBefore w:val="0"/>
              <w:widowControl/>
              <w:kinsoku/>
              <w:wordWrap/>
              <w:overflowPunct/>
              <w:topLinePunct w:val="0"/>
              <w:autoSpaceDE/>
              <w:autoSpaceDN/>
              <w:bidi w:val="0"/>
              <w:adjustRightInd/>
              <w:snapToGrid/>
              <w:spacing w:before="163" w:beforeLines="50" w:beforeAutospacing="0" w:after="100" w:afterAutospacing="1" w:line="360" w:lineRule="auto"/>
              <w:jc w:val="left"/>
              <w:textAlignment w:val="auto"/>
              <w:rPr>
                <w:rFonts w:hint="default" w:asciiTheme="minorEastAsia" w:hAnsi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1年报价（含税）：</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元                    。</w:t>
            </w:r>
          </w:p>
          <w:p w14:paraId="3D1859DD">
            <w:pPr>
              <w:keepNext w:val="0"/>
              <w:keepLines w:val="0"/>
              <w:pageBreakBefore w:val="0"/>
              <w:widowControl/>
              <w:kinsoku/>
              <w:wordWrap/>
              <w:overflowPunct/>
              <w:topLinePunct w:val="0"/>
              <w:autoSpaceDE/>
              <w:autoSpaceDN/>
              <w:bidi w:val="0"/>
              <w:adjustRightInd/>
              <w:snapToGrid/>
              <w:spacing w:before="163" w:beforeLines="50" w:beforeAutospacing="0" w:after="100" w:afterAutospacing="1"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2年合计</w:t>
            </w:r>
            <w:r>
              <w:rPr>
                <w:rFonts w:hint="eastAsia" w:asciiTheme="minorEastAsia" w:hAnsiTheme="minorEastAsia" w:cstheme="minorEastAsia"/>
                <w:color w:val="000000" w:themeColor="text1"/>
                <w:sz w:val="24"/>
                <w:szCs w:val="24"/>
                <w:lang w:eastAsia="zh-CN"/>
                <w14:textFill>
                  <w14:solidFill>
                    <w14:schemeClr w14:val="tx1"/>
                  </w14:solidFill>
                </w14:textFill>
              </w:rPr>
              <w:t>报价（含税）</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元</w:t>
            </w:r>
            <w:r>
              <w:rPr>
                <w:rFonts w:hint="eastAsia" w:asciiTheme="minorEastAsia" w:hAnsiTheme="minorEastAsia" w:cstheme="minorEastAsia"/>
                <w:b/>
                <w:bCs/>
                <w:color w:val="000000" w:themeColor="text1"/>
                <w:sz w:val="24"/>
                <w:szCs w:val="24"/>
                <w:u w:val="single"/>
                <w:lang w:val="en-US" w:eastAsia="zh-CN"/>
                <w14:textFill>
                  <w14:solidFill>
                    <w14:schemeClr w14:val="tx1"/>
                  </w14:solidFill>
                </w14:textFill>
              </w:rPr>
              <w:t>（该报价必须与系统报价一致）</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tc>
      </w:tr>
    </w:tbl>
    <w:p w14:paraId="29126A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198" w:right="198" w:firstLine="0"/>
        <w:jc w:val="left"/>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供应商（全称并加盖单位公章）：</w:t>
      </w:r>
      <w:r>
        <w:rPr>
          <w:rFonts w:hint="eastAsia" w:asciiTheme="minorEastAsia" w:hAnsiTheme="minorEastAsia" w:eastAsiaTheme="minorEastAsia" w:cstheme="minorEastAsia"/>
          <w:color w:val="000000" w:themeColor="text1"/>
          <w:kern w:val="2"/>
          <w:sz w:val="24"/>
          <w:szCs w:val="24"/>
          <w:highlight w:val="none"/>
          <w:u w:val="single"/>
          <w:lang w:val="en-US" w:eastAsia="zh-CN" w:bidi="ar-SA"/>
          <w14:textFill>
            <w14:solidFill>
              <w14:schemeClr w14:val="tx1"/>
            </w14:solidFill>
          </w14:textFill>
        </w:rPr>
        <w:t>     </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w:t>
      </w:r>
    </w:p>
    <w:p w14:paraId="71EFA0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198" w:right="198" w:firstLine="0"/>
        <w:jc w:val="left"/>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单位负责人或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投标人代表</w:t>
      </w: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（签字或盖章）</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w:t>
      </w:r>
      <w:r>
        <w:rPr>
          <w:rFonts w:hint="eastAsia" w:asciiTheme="minorEastAsia" w:hAnsiTheme="minorEastAsia" w:eastAsiaTheme="minorEastAsia" w:cstheme="minorEastAsia"/>
          <w:color w:val="000000" w:themeColor="text1"/>
          <w:kern w:val="2"/>
          <w:sz w:val="24"/>
          <w:szCs w:val="24"/>
          <w:highlight w:val="none"/>
          <w:u w:val="single"/>
          <w:lang w:val="en-US" w:eastAsia="zh-CN" w:bidi="ar-SA"/>
          <w14:textFill>
            <w14:solidFill>
              <w14:schemeClr w14:val="tx1"/>
            </w14:solidFill>
          </w14:textFill>
        </w:rPr>
        <w:t>     </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w:t>
      </w:r>
    </w:p>
    <w:p w14:paraId="30DD24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198" w:right="198" w:firstLine="0"/>
        <w:jc w:val="left"/>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时间： </w:t>
      </w:r>
      <w:r>
        <w:rPr>
          <w:rFonts w:hint="eastAsia" w:asciiTheme="minorEastAsia" w:hAnsiTheme="minorEastAsia" w:eastAsiaTheme="minorEastAsia" w:cstheme="minorEastAsia"/>
          <w:color w:val="000000" w:themeColor="text1"/>
          <w:kern w:val="2"/>
          <w:sz w:val="24"/>
          <w:szCs w:val="24"/>
          <w:highlight w:val="none"/>
          <w:u w:val="single"/>
          <w:lang w:val="en-US" w:eastAsia="zh-CN" w:bidi="ar-SA"/>
          <w14:textFill>
            <w14:solidFill>
              <w14:schemeClr w14:val="tx1"/>
            </w14:solidFill>
          </w14:textFill>
        </w:rPr>
        <w:t>       </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w:t>
      </w:r>
    </w:p>
    <w:p w14:paraId="718B8AB4">
      <w:pPr>
        <w:pStyle w:val="6"/>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p>
    <w:p w14:paraId="4EDB84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200" w:rightChars="0"/>
        <w:jc w:val="left"/>
        <w:textAlignment w:val="auto"/>
        <w:rPr>
          <w:rFonts w:hint="eastAsia" w:asciiTheme="minorEastAsia" w:hAnsiTheme="minorEastAsia" w:eastAsiaTheme="minorEastAsia" w:cstheme="minorEastAsia"/>
          <w:b/>
          <w:bCs/>
          <w:i w:val="0"/>
          <w:iCs w:val="0"/>
          <w:caps w:val="0"/>
          <w:color w:val="000000" w:themeColor="text1"/>
          <w:spacing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14:textFill>
            <w14:solidFill>
              <w14:schemeClr w14:val="tx1"/>
            </w14:solidFill>
          </w14:textFill>
        </w:rPr>
        <w:t>▲</w:t>
      </w:r>
      <w:r>
        <w:rPr>
          <w:rFonts w:hint="eastAsia" w:asciiTheme="minorEastAsia" w:hAnsiTheme="minorEastAsia" w:eastAsiaTheme="minorEastAsia" w:cstheme="minorEastAsia"/>
          <w:b/>
          <w:bCs/>
          <w:i w:val="0"/>
          <w:iCs w:val="0"/>
          <w:caps w:val="0"/>
          <w:color w:val="000000" w:themeColor="text1"/>
          <w:spacing w:val="0"/>
          <w:sz w:val="24"/>
          <w:szCs w:val="24"/>
          <w:highlight w:val="none"/>
          <w:lang w:val="en-US" w:eastAsia="zh-CN"/>
          <w14:textFill>
            <w14:solidFill>
              <w14:schemeClr w14:val="tx1"/>
            </w14:solidFill>
          </w14:textFill>
        </w:rPr>
        <w:t>五、</w:t>
      </w:r>
      <w:r>
        <w:rPr>
          <w:rFonts w:hint="eastAsia" w:asciiTheme="minorEastAsia" w:hAnsiTheme="minorEastAsia" w:eastAsiaTheme="minorEastAsia" w:cstheme="minorEastAsia"/>
          <w:b/>
          <w:bCs/>
          <w:i w:val="0"/>
          <w:iCs w:val="0"/>
          <w:caps w:val="0"/>
          <w:color w:val="000000" w:themeColor="text1"/>
          <w:spacing w:val="0"/>
          <w:sz w:val="24"/>
          <w:szCs w:val="24"/>
          <w:highlight w:val="none"/>
          <w:lang w:eastAsia="zh-CN"/>
          <w14:textFill>
            <w14:solidFill>
              <w14:schemeClr w14:val="tx1"/>
            </w14:solidFill>
          </w14:textFill>
        </w:rPr>
        <w:t>响应承诺：</w:t>
      </w:r>
    </w:p>
    <w:p w14:paraId="59344935">
      <w:pPr>
        <w:keepNext w:val="0"/>
        <w:keepLines w:val="0"/>
        <w:pageBreakBefore w:val="0"/>
        <w:widowControl/>
        <w:kinsoku/>
        <w:overflowPunct/>
        <w:topLinePunct w:val="0"/>
        <w:bidi w:val="0"/>
        <w:spacing w:before="100" w:beforeAutospacing="1" w:after="100" w:afterAutospacing="1" w:line="360" w:lineRule="auto"/>
        <w:jc w:val="center"/>
        <w:textAlignment w:val="auto"/>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lang w:eastAsia="zh-CN"/>
          <w14:textFill>
            <w14:solidFill>
              <w14:schemeClr w14:val="tx1"/>
            </w14:solidFill>
          </w14:textFill>
        </w:rPr>
        <w:t>响应</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承诺函</w:t>
      </w:r>
    </w:p>
    <w:p w14:paraId="613DB6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填表须知：</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供应商提供承诺函时，表一和表二不可同时提供，</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完全实质性响应竞价文件（完全满足）</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提供表一，存在正偏离</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优于竞价文件要求</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提供表二，同时提供表一和表二的，视为未提供承诺函</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如有</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正</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偏离</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优于竞价文件要求</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的，不管是多么微小，供应商都应在承诺函中如实详细说明。</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供应商应在竞价过程时按下述格式编制按PDF格式以附件形式上传。未按要求编制上传或上传材料不齐的，视为未实质性满足竞价文件，竞价无效。</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p>
    <w:p w14:paraId="07A402D5">
      <w:pPr>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p w14:paraId="2DE93D4B">
      <w:pPr>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完全实质性响应</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承诺函（表一）</w:t>
      </w:r>
    </w:p>
    <w:tbl>
      <w:tblPr>
        <w:tblStyle w:val="12"/>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8522"/>
      </w:tblGrid>
      <w:tr w14:paraId="374FD7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8522"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14:paraId="0B6D8260">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龙岩市公物采购招标代理有限公司：</w:t>
            </w:r>
          </w:p>
          <w:p w14:paraId="3E2B88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4"/>
                <w:szCs w:val="24"/>
                <w:highlight w:val="none"/>
                <w:lang w:val="en-US" w:eastAsia="zh-CN" w:bidi="ar"/>
                <w14:textFill>
                  <w14:solidFill>
                    <w14:schemeClr w14:val="tx1"/>
                  </w14:solidFill>
                </w14:textFill>
              </w:rPr>
              <w:t>我</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14:textFill>
                  <w14:solidFill>
                    <w14:schemeClr w14:val="tx1"/>
                  </w14:solidFill>
                </w14:textFill>
              </w:rPr>
              <w:t>公司</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（全称）</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lang w:val="en-US" w:eastAsia="zh-CN"/>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kern w:val="0"/>
                <w:sz w:val="24"/>
                <w:szCs w:val="24"/>
                <w:highlight w:val="none"/>
                <w:lang w:val="en-US" w:eastAsia="zh-CN" w:bidi="ar"/>
                <w14:textFill>
                  <w14:solidFill>
                    <w14:schemeClr w14:val="tx1"/>
                  </w14:solidFill>
                </w14:textFill>
              </w:rPr>
              <w:t>参与</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14:textFill>
                  <w14:solidFill>
                    <w14:schemeClr w14:val="tx1"/>
                  </w14:solidFill>
                </w14:textFill>
              </w:rPr>
              <w:t>项目（项目</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lang w:eastAsia="zh-CN"/>
                <w14:textFill>
                  <w14:solidFill>
                    <w14:schemeClr w14:val="tx1"/>
                  </w14:solidFill>
                </w14:textFill>
              </w:rPr>
              <w:t>编</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14:textFill>
                  <w14:solidFill>
                    <w14:schemeClr w14:val="tx1"/>
                  </w14:solidFill>
                </w14:textFill>
              </w:rPr>
              <w:t>号：</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lang w:val="en-US" w:eastAsia="zh-CN"/>
                <w14:textFill>
                  <w14:solidFill>
                    <w14:schemeClr w14:val="tx1"/>
                  </w14:solidFill>
                </w14:textFill>
              </w:rPr>
              <w:t xml:space="preserve"> </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14:textFill>
                  <w14:solidFill>
                    <w14:schemeClr w14:val="tx1"/>
                  </w14:solidFill>
                </w14:textFill>
              </w:rPr>
              <w:t>）</w:t>
            </w:r>
            <w:r>
              <w:rPr>
                <w:rFonts w:hint="eastAsia" w:asciiTheme="minorEastAsia" w:hAnsiTheme="minorEastAsia" w:eastAsiaTheme="minorEastAsia" w:cstheme="minorEastAsia"/>
                <w:b w:val="0"/>
                <w:bCs/>
                <w:color w:val="000000" w:themeColor="text1"/>
                <w:kern w:val="0"/>
                <w:sz w:val="24"/>
                <w:szCs w:val="24"/>
                <w:highlight w:val="none"/>
                <w:lang w:val="en-US" w:eastAsia="zh-CN" w:bidi="ar"/>
                <w14:textFill>
                  <w14:solidFill>
                    <w14:schemeClr w14:val="tx1"/>
                  </w14:solidFill>
                </w14:textFill>
              </w:rPr>
              <w:t>，现承诺如下：</w:t>
            </w:r>
          </w:p>
          <w:p w14:paraId="5DB6E6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1.具有独立承担民事责任的能力;</w:t>
            </w:r>
          </w:p>
          <w:p w14:paraId="5F9497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2.具有良好的商业信誉和健全的财务会计制度;</w:t>
            </w:r>
          </w:p>
          <w:p w14:paraId="06A4B0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3.具有履行合同所必需的设备和专业技术能力;</w:t>
            </w:r>
          </w:p>
          <w:p w14:paraId="74C996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4.有依法缴纳税收和社会保障资金的良好记录;</w:t>
            </w:r>
          </w:p>
          <w:p w14:paraId="0DE211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5.参加采购活动前三年内，在经营活动中没有重大违法记录；</w:t>
            </w:r>
          </w:p>
          <w:p w14:paraId="386120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6.法律、行政法规规定的其他条件。</w:t>
            </w:r>
          </w:p>
          <w:p w14:paraId="7CD4716A">
            <w:pPr>
              <w:keepNext w:val="0"/>
              <w:keepLines w:val="0"/>
              <w:pageBreakBefore w:val="0"/>
              <w:kinsoku/>
              <w:overflowPunct/>
              <w:topLinePunct w:val="0"/>
              <w:bidi w:val="0"/>
              <w:spacing w:line="360" w:lineRule="auto"/>
              <w:ind w:firstLine="720" w:firstLineChars="3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.响应的货物、</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服务均符合</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竞价文件中“三</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技术和商务要求”</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的所有要求。</w:t>
            </w:r>
          </w:p>
          <w:p w14:paraId="0D6E034D">
            <w:pPr>
              <w:keepNext w:val="0"/>
              <w:keepLines w:val="0"/>
              <w:pageBreakBefore w:val="0"/>
              <w:kinsoku/>
              <w:overflowPunct/>
              <w:topLinePunct w:val="0"/>
              <w:bidi w:val="0"/>
              <w:spacing w:line="360" w:lineRule="auto"/>
              <w:ind w:firstLine="720" w:firstLineChars="3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若我公司成交，将完全按竞价文件要求</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及合同约定</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进行实施。</w:t>
            </w:r>
          </w:p>
          <w:p w14:paraId="0496C164">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竞价</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供应商名称: （全称并加盖公章）</w:t>
            </w:r>
          </w:p>
          <w:p w14:paraId="3126CA77">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单位负责人</w:t>
            </w: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投标人代表</w:t>
            </w: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（签字或盖章）</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p>
          <w:p w14:paraId="63773FC5">
            <w:pPr>
              <w:keepNext w:val="0"/>
              <w:keepLines w:val="0"/>
              <w:pageBreakBefore w:val="0"/>
              <w:kinsoku/>
              <w:overflowPunct/>
              <w:topLinePunct w:val="0"/>
              <w:bidi w:val="0"/>
              <w:spacing w:line="360" w:lineRule="auto"/>
              <w:ind w:firstLine="48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联系电话：</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 </w:t>
            </w:r>
          </w:p>
          <w:p w14:paraId="28893D70">
            <w:pPr>
              <w:keepNext w:val="0"/>
              <w:keepLines w:val="0"/>
              <w:pageBreakBefore w:val="0"/>
              <w:kinsoku/>
              <w:overflowPunct/>
              <w:topLinePunct w:val="0"/>
              <w:bidi w:val="0"/>
              <w:spacing w:line="360" w:lineRule="auto"/>
              <w:ind w:firstLine="48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时间：</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p>
        </w:tc>
      </w:tr>
    </w:tbl>
    <w:p w14:paraId="61DD2AAA">
      <w:pPr>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p w14:paraId="359DD422">
      <w:pPr>
        <w:keepNext w:val="0"/>
        <w:keepLines w:val="0"/>
        <w:pageBreakBefore w:val="0"/>
        <w:widowControl/>
        <w:kinsoku/>
        <w:overflowPunct/>
        <w:topLinePunct w:val="0"/>
        <w:bidi w:val="0"/>
        <w:spacing w:line="360" w:lineRule="auto"/>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正偏离承诺函（表二）</w:t>
      </w:r>
    </w:p>
    <w:p w14:paraId="4FDB58B0">
      <w:pPr>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龙岩市公物采购招标代理有限公司：</w:t>
      </w:r>
    </w:p>
    <w:p w14:paraId="2BE166C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4"/>
          <w:szCs w:val="24"/>
          <w:highlight w:val="none"/>
          <w:lang w:val="en-US" w:eastAsia="zh-CN" w:bidi="ar"/>
          <w14:textFill>
            <w14:solidFill>
              <w14:schemeClr w14:val="tx1"/>
            </w14:solidFill>
          </w14:textFill>
        </w:rPr>
        <w:t>我</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14:textFill>
            <w14:solidFill>
              <w14:schemeClr w14:val="tx1"/>
            </w14:solidFill>
          </w14:textFill>
        </w:rPr>
        <w:t>公司</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（全称）</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lang w:val="en-US" w:eastAsia="zh-CN"/>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kern w:val="0"/>
          <w:sz w:val="24"/>
          <w:szCs w:val="24"/>
          <w:highlight w:val="none"/>
          <w:lang w:val="en-US" w:eastAsia="zh-CN" w:bidi="ar"/>
          <w14:textFill>
            <w14:solidFill>
              <w14:schemeClr w14:val="tx1"/>
            </w14:solidFill>
          </w14:textFill>
        </w:rPr>
        <w:t>参与</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14:textFill>
            <w14:solidFill>
              <w14:schemeClr w14:val="tx1"/>
            </w14:solidFill>
          </w14:textFill>
        </w:rPr>
        <w:t>项目（项目</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lang w:eastAsia="zh-CN"/>
          <w14:textFill>
            <w14:solidFill>
              <w14:schemeClr w14:val="tx1"/>
            </w14:solidFill>
          </w14:textFill>
        </w:rPr>
        <w:t>编</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14:textFill>
            <w14:solidFill>
              <w14:schemeClr w14:val="tx1"/>
            </w14:solidFill>
          </w14:textFill>
        </w:rPr>
        <w:t>号：</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lang w:val="en-US" w:eastAsia="zh-CN"/>
          <w14:textFill>
            <w14:solidFill>
              <w14:schemeClr w14:val="tx1"/>
            </w14:solidFill>
          </w14:textFill>
        </w:rPr>
        <w:t xml:space="preserve"> </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r>
        <w:rPr>
          <w:rFonts w:hint="eastAsia" w:asciiTheme="minorEastAsia" w:hAnsiTheme="minorEastAsia" w:eastAsiaTheme="minorEastAsia" w:cstheme="minorEastAsia"/>
          <w:b w:val="0"/>
          <w:bCs/>
          <w:i w:val="0"/>
          <w:iCs w:val="0"/>
          <w:caps w:val="0"/>
          <w:color w:val="000000" w:themeColor="text1"/>
          <w:spacing w:val="0"/>
          <w:sz w:val="24"/>
          <w:szCs w:val="24"/>
          <w:highlight w:val="none"/>
          <w:shd w:val="clear" w:fill="FFFFFF"/>
          <w14:textFill>
            <w14:solidFill>
              <w14:schemeClr w14:val="tx1"/>
            </w14:solidFill>
          </w14:textFill>
        </w:rPr>
        <w:t>）</w:t>
      </w:r>
      <w:r>
        <w:rPr>
          <w:rFonts w:hint="eastAsia" w:asciiTheme="minorEastAsia" w:hAnsiTheme="minorEastAsia" w:eastAsiaTheme="minorEastAsia" w:cstheme="minorEastAsia"/>
          <w:b w:val="0"/>
          <w:bCs/>
          <w:color w:val="000000" w:themeColor="text1"/>
          <w:kern w:val="0"/>
          <w:sz w:val="24"/>
          <w:szCs w:val="24"/>
          <w:highlight w:val="none"/>
          <w:lang w:val="en-US" w:eastAsia="zh-CN" w:bidi="ar"/>
          <w14:textFill>
            <w14:solidFill>
              <w14:schemeClr w14:val="tx1"/>
            </w14:solidFill>
          </w14:textFill>
        </w:rPr>
        <w:t>，现承诺如下：</w:t>
      </w:r>
    </w:p>
    <w:p w14:paraId="1937B668">
      <w:pPr>
        <w:keepNext w:val="0"/>
        <w:keepLines w:val="0"/>
        <w:pageBreakBefore w:val="0"/>
        <w:kinsoku/>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存在正偏离情况表</w:t>
      </w:r>
    </w:p>
    <w:tbl>
      <w:tblPr>
        <w:tblStyle w:val="12"/>
        <w:tblW w:w="8710"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2427"/>
        <w:gridCol w:w="2000"/>
        <w:gridCol w:w="2546"/>
      </w:tblGrid>
      <w:tr w14:paraId="3ABE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37" w:type="dxa"/>
            <w:noWrap w:val="0"/>
            <w:vAlign w:val="top"/>
          </w:tcPr>
          <w:p w14:paraId="56A7FD47">
            <w:pPr>
              <w:keepNext w:val="0"/>
              <w:keepLines w:val="0"/>
              <w:pageBreakBefore w:val="0"/>
              <w:kinsoku/>
              <w:overflowPunct/>
              <w:topLinePunct w:val="0"/>
              <w:bidi w:val="0"/>
              <w:spacing w:line="360" w:lineRule="auto"/>
              <w:jc w:val="center"/>
              <w:textAlignment w:val="auto"/>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序号</w:t>
            </w:r>
          </w:p>
        </w:tc>
        <w:tc>
          <w:tcPr>
            <w:tcW w:w="2427" w:type="dxa"/>
            <w:noWrap w:val="0"/>
            <w:vAlign w:val="top"/>
          </w:tcPr>
          <w:p w14:paraId="519F996E">
            <w:pPr>
              <w:keepNext w:val="0"/>
              <w:keepLines w:val="0"/>
              <w:pageBreakBefore w:val="0"/>
              <w:kinsoku/>
              <w:overflowPunct/>
              <w:topLinePunct w:val="0"/>
              <w:bidi w:val="0"/>
              <w:spacing w:line="360" w:lineRule="auto"/>
              <w:jc w:val="center"/>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竞价</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文件</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要求</w:t>
            </w:r>
          </w:p>
        </w:tc>
        <w:tc>
          <w:tcPr>
            <w:tcW w:w="2000" w:type="dxa"/>
            <w:noWrap w:val="0"/>
            <w:vAlign w:val="top"/>
          </w:tcPr>
          <w:p w14:paraId="40F32E6A">
            <w:pPr>
              <w:keepNext w:val="0"/>
              <w:keepLines w:val="0"/>
              <w:pageBreakBefore w:val="0"/>
              <w:kinsoku/>
              <w:overflowPunct/>
              <w:topLinePunct w:val="0"/>
              <w:bidi w:val="0"/>
              <w:spacing w:line="360" w:lineRule="auto"/>
              <w:jc w:val="center"/>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投标响应内容</w:t>
            </w:r>
          </w:p>
        </w:tc>
        <w:tc>
          <w:tcPr>
            <w:tcW w:w="2546" w:type="dxa"/>
            <w:noWrap w:val="0"/>
            <w:vAlign w:val="top"/>
          </w:tcPr>
          <w:p w14:paraId="3927013C">
            <w:pPr>
              <w:keepNext w:val="0"/>
              <w:keepLines w:val="0"/>
              <w:pageBreakBefore w:val="0"/>
              <w:kinsoku/>
              <w:overflowPunct/>
              <w:topLinePunct w:val="0"/>
              <w:bidi w:val="0"/>
              <w:spacing w:line="360" w:lineRule="auto"/>
              <w:jc w:val="center"/>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正偏离情况说明</w:t>
            </w:r>
          </w:p>
        </w:tc>
      </w:tr>
      <w:tr w14:paraId="5731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37" w:type="dxa"/>
            <w:noWrap w:val="0"/>
            <w:vAlign w:val="top"/>
          </w:tcPr>
          <w:p w14:paraId="38111A70">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427" w:type="dxa"/>
            <w:noWrap w:val="0"/>
            <w:vAlign w:val="top"/>
          </w:tcPr>
          <w:p w14:paraId="5FF3836C">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000" w:type="dxa"/>
            <w:noWrap w:val="0"/>
            <w:vAlign w:val="top"/>
          </w:tcPr>
          <w:p w14:paraId="4E18C0C4">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546" w:type="dxa"/>
            <w:noWrap w:val="0"/>
            <w:vAlign w:val="top"/>
          </w:tcPr>
          <w:p w14:paraId="46D6427E">
            <w:pPr>
              <w:keepNext w:val="0"/>
              <w:keepLines w:val="0"/>
              <w:pageBreakBefore w:val="0"/>
              <w:kinsoku/>
              <w:overflowPunct/>
              <w:topLinePunct w:val="0"/>
              <w:bidi w:val="0"/>
              <w:spacing w:line="360" w:lineRule="auto"/>
              <w:ind w:firstLine="720" w:firstLineChars="30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正偏离</w:t>
            </w:r>
          </w:p>
          <w:p w14:paraId="6E63175B">
            <w:pPr>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请填写正偏离内容</w:t>
            </w:r>
          </w:p>
        </w:tc>
      </w:tr>
      <w:tr w14:paraId="63F3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37" w:type="dxa"/>
            <w:noWrap w:val="0"/>
            <w:vAlign w:val="top"/>
          </w:tcPr>
          <w:p w14:paraId="23EC710A">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427" w:type="dxa"/>
            <w:noWrap w:val="0"/>
            <w:vAlign w:val="top"/>
          </w:tcPr>
          <w:p w14:paraId="5D5EB10C">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000" w:type="dxa"/>
            <w:noWrap w:val="0"/>
            <w:vAlign w:val="top"/>
          </w:tcPr>
          <w:p w14:paraId="4BE34DC5">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546" w:type="dxa"/>
            <w:noWrap w:val="0"/>
            <w:vAlign w:val="top"/>
          </w:tcPr>
          <w:p w14:paraId="2C27DE06">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r>
      <w:tr w14:paraId="3639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737" w:type="dxa"/>
            <w:noWrap w:val="0"/>
            <w:vAlign w:val="top"/>
          </w:tcPr>
          <w:p w14:paraId="32ED1B42">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427" w:type="dxa"/>
            <w:noWrap w:val="0"/>
            <w:vAlign w:val="top"/>
          </w:tcPr>
          <w:p w14:paraId="29615F51">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000" w:type="dxa"/>
            <w:noWrap w:val="0"/>
            <w:vAlign w:val="top"/>
          </w:tcPr>
          <w:p w14:paraId="239E2497">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c>
          <w:tcPr>
            <w:tcW w:w="2546" w:type="dxa"/>
            <w:noWrap w:val="0"/>
            <w:vAlign w:val="top"/>
          </w:tcPr>
          <w:p w14:paraId="0B3F058D">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tc>
      </w:tr>
      <w:tr w14:paraId="3EF4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710" w:type="dxa"/>
            <w:gridSpan w:val="4"/>
            <w:noWrap w:val="0"/>
            <w:vAlign w:val="top"/>
          </w:tcPr>
          <w:p w14:paraId="3ED1D1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20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承诺：</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1.具有独立承担民事责任的能力;</w:t>
            </w:r>
          </w:p>
          <w:p w14:paraId="3D27E7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2.具有良好的商业信誉和健全的财务会计制度;</w:t>
            </w:r>
          </w:p>
          <w:p w14:paraId="1D5C24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3.具有履行合同所必需的设备和专业技术能力;</w:t>
            </w:r>
          </w:p>
          <w:p w14:paraId="5423F0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4.有依法缴纳税收和社会保障资金的良好记录;</w:t>
            </w:r>
          </w:p>
          <w:p w14:paraId="7F0995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5.参加采购活动前三年内，在经营活动中没有重大违法记录；</w:t>
            </w:r>
          </w:p>
          <w:p w14:paraId="482BB4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480"/>
              <w:jc w:val="left"/>
              <w:textAlignment w:val="auto"/>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6.法律、行政法规规定的其他条件。</w:t>
            </w:r>
          </w:p>
          <w:p w14:paraId="50FA2A1D">
            <w:pPr>
              <w:keepNext w:val="0"/>
              <w:keepLines w:val="0"/>
              <w:pageBreakBefore w:val="0"/>
              <w:kinsoku/>
              <w:overflowPunct/>
              <w:topLinePunct w:val="0"/>
              <w:bidi w:val="0"/>
              <w:spacing w:line="360" w:lineRule="auto"/>
              <w:ind w:firstLine="720" w:firstLineChars="300"/>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.响应的货物、</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服务均符合</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竞价文件中“三</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技术和商务要求”</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的所有要求。</w:t>
            </w:r>
          </w:p>
          <w:p w14:paraId="18D15B95">
            <w:pPr>
              <w:keepNext w:val="0"/>
              <w:keepLines w:val="0"/>
              <w:pageBreakBefore w:val="0"/>
              <w:kinsoku/>
              <w:overflowPunct/>
              <w:topLinePunct w:val="0"/>
              <w:bidi w:val="0"/>
              <w:spacing w:line="360" w:lineRule="auto"/>
              <w:ind w:firstLine="720" w:firstLineChars="3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若我公司成交，将完全按竞价文件要求</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及合同约定</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进行实施。</w:t>
            </w:r>
          </w:p>
        </w:tc>
      </w:tr>
    </w:tbl>
    <w:p w14:paraId="286FBAD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※注意：</w:t>
      </w:r>
    </w:p>
    <w:p w14:paraId="656624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1、本表应按照下列规定填写：</w:t>
      </w:r>
    </w:p>
    <w:p w14:paraId="44B0F87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1.1“竞价文件要求”项下填写的内容应与“三、技术和商务要求”的内容保持一致。</w:t>
      </w:r>
    </w:p>
    <w:p w14:paraId="7E5668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1.2“</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正偏离情况说明</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”项下应按下列规定填写：“正偏离</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和正偏离的</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详细</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内容</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p>
    <w:p w14:paraId="7278F3E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2、供应商需要说明的内容若需特殊表达，应先在本表中进行相应说明，再另页应答，但应做好标注说明，方便查阅评审。</w:t>
      </w:r>
    </w:p>
    <w:p w14:paraId="1CC12055">
      <w:pPr>
        <w:keepNext w:val="0"/>
        <w:keepLines w:val="0"/>
        <w:pageBreakBefore w:val="0"/>
        <w:kinsoku/>
        <w:overflowPunct/>
        <w:topLinePunct w:val="0"/>
        <w:bidi w:val="0"/>
        <w:spacing w:line="360" w:lineRule="auto"/>
        <w:ind w:firstLine="480" w:firstLineChars="200"/>
        <w:jc w:val="right"/>
        <w:textAlignment w:val="auto"/>
        <w:rPr>
          <w:rFonts w:hint="eastAsia" w:asciiTheme="minorEastAsia" w:hAnsiTheme="minorEastAsia" w:eastAsiaTheme="minorEastAsia" w:cstheme="minorEastAsia"/>
          <w:b w:val="0"/>
          <w:bCs/>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竞价</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供应商名称: </w:t>
      </w:r>
      <w:r>
        <w:rPr>
          <w:rFonts w:hint="eastAsia" w:asciiTheme="minorEastAsia" w:hAnsiTheme="minorEastAsia" w:eastAsiaTheme="minorEastAsia" w:cstheme="minorEastAsia"/>
          <w:b w:val="0"/>
          <w:bCs/>
          <w:color w:val="000000" w:themeColor="text1"/>
          <w:sz w:val="24"/>
          <w:szCs w:val="24"/>
          <w:highlight w:val="none"/>
          <w:u w:val="single"/>
          <w14:textFill>
            <w14:solidFill>
              <w14:schemeClr w14:val="tx1"/>
            </w14:solidFill>
          </w14:textFill>
        </w:rPr>
        <w:t>（全称并加盖公章）</w:t>
      </w:r>
    </w:p>
    <w:p w14:paraId="3E6F0911">
      <w:pPr>
        <w:keepNext w:val="0"/>
        <w:keepLines w:val="0"/>
        <w:pageBreakBefore w:val="0"/>
        <w:kinsoku/>
        <w:overflowPunct/>
        <w:topLinePunct w:val="0"/>
        <w:bidi w:val="0"/>
        <w:spacing w:line="360" w:lineRule="auto"/>
        <w:ind w:firstLine="480" w:firstLineChars="200"/>
        <w:jc w:val="righ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单位负责人</w:t>
      </w: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投标人代表</w:t>
      </w: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（签字或盖章）</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p>
    <w:p w14:paraId="686918D9">
      <w:pPr>
        <w:keepNext w:val="0"/>
        <w:keepLines w:val="0"/>
        <w:pageBreakBefore w:val="0"/>
        <w:kinsoku/>
        <w:overflowPunct/>
        <w:topLinePunct w:val="0"/>
        <w:bidi w:val="0"/>
        <w:spacing w:line="360" w:lineRule="auto"/>
        <w:ind w:firstLine="480"/>
        <w:jc w:val="righ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联系电话：</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r>
        <w:rPr>
          <w:rFonts w:hint="eastAsia" w:asciiTheme="minorEastAsia" w:hAnsiTheme="minorEastAsia" w:eastAsiaTheme="minorEastAsia" w:cstheme="minorEastAsia"/>
          <w:b w:val="0"/>
          <w:bCs w:val="0"/>
          <w:i w:val="0"/>
          <w:iCs w:val="0"/>
          <w:caps w:val="0"/>
          <w:color w:val="000000" w:themeColor="text1"/>
          <w:spacing w:val="0"/>
          <w:kern w:val="0"/>
          <w:sz w:val="24"/>
          <w:szCs w:val="24"/>
          <w:highlight w:val="none"/>
          <w:lang w:val="en-US" w:eastAsia="zh-CN" w:bidi="ar"/>
          <w14:textFill>
            <w14:solidFill>
              <w14:schemeClr w14:val="tx1"/>
            </w14:solidFill>
          </w14:textFill>
        </w:rPr>
        <w:t> </w:t>
      </w:r>
    </w:p>
    <w:p w14:paraId="0C3F2A53">
      <w:pPr>
        <w:keepNext w:val="0"/>
        <w:keepLines w:val="0"/>
        <w:pageBreakBefore w:val="0"/>
        <w:kinsoku/>
        <w:overflowPunct/>
        <w:topLinePunct w:val="0"/>
        <w:bidi w:val="0"/>
        <w:spacing w:line="360" w:lineRule="auto"/>
        <w:ind w:firstLine="480"/>
        <w:jc w:val="righ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时间：</w:t>
      </w:r>
      <w:r>
        <w:rPr>
          <w:rFonts w:hint="eastAsia" w:asciiTheme="minorEastAsia" w:hAnsiTheme="minorEastAsia" w:eastAsiaTheme="minorEastAsia" w:cstheme="minorEastAsia"/>
          <w:b w:val="0"/>
          <w:bCs/>
          <w:i w:val="0"/>
          <w:iCs w:val="0"/>
          <w:caps w:val="0"/>
          <w:color w:val="000000" w:themeColor="text1"/>
          <w:spacing w:val="0"/>
          <w:sz w:val="24"/>
          <w:szCs w:val="24"/>
          <w:highlight w:val="none"/>
          <w:u w:val="single"/>
          <w:shd w:val="clear" w:fill="FFFFFF"/>
          <w14:textFill>
            <w14:solidFill>
              <w14:schemeClr w14:val="tx1"/>
            </w14:solidFill>
          </w14:textFill>
        </w:rPr>
        <w:t>      </w:t>
      </w:r>
    </w:p>
    <w:p w14:paraId="331A3DDB">
      <w:pPr>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p>
    <w:p w14:paraId="03390B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both"/>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六</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、合同</w:t>
      </w:r>
    </w:p>
    <w:p w14:paraId="0C21D52F">
      <w:pPr>
        <w:pStyle w:val="6"/>
        <w:keepNext w:val="0"/>
        <w:keepLines w:val="0"/>
        <w:pageBreakBefore w:val="0"/>
        <w:kinsoku/>
        <w:overflowPunct/>
        <w:topLinePunct w:val="0"/>
        <w:bidi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1.成交供应商应在结果公告发出之日起5日内与采购人签订采购合同，合同不违背本公告采购实质性要求。采购合同的履行、违约责任和解决争议的方法等适用民法典。</w:t>
      </w:r>
    </w:p>
    <w:p w14:paraId="766DB9EF">
      <w:pPr>
        <w:keepNext w:val="0"/>
        <w:keepLines w:val="0"/>
        <w:pageBreakBefore w:val="0"/>
        <w:kinsoku/>
        <w:wordWrap/>
        <w:overflowPunct/>
        <w:topLinePunct w:val="0"/>
        <w:autoSpaceDE/>
        <w:autoSpaceDN/>
        <w:bidi w:val="0"/>
        <w:adjustRightInd/>
        <w:spacing w:line="360" w:lineRule="auto"/>
        <w:ind w:leftChars="0" w:firstLine="480" w:firstLineChars="200"/>
        <w:textAlignment w:val="auto"/>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highlight w:val="none"/>
          <w:lang w:val="en-US" w:eastAsia="zh-CN" w:bidi="ar"/>
          <w14:textFill>
            <w14:solidFill>
              <w14:schemeClr w14:val="tx1"/>
            </w14:solidFill>
          </w14:textFill>
        </w:rPr>
        <w:t>2.若</w:t>
      </w:r>
      <w:r>
        <w:rPr>
          <w:rFonts w:hint="eastAsia" w:asciiTheme="minorEastAsia" w:hAnsiTheme="minorEastAsia" w:eastAsiaTheme="minorEastAsia" w:cstheme="minorEastAsia"/>
          <w:b w:val="0"/>
          <w:bCs w:val="0"/>
          <w:color w:val="000000" w:themeColor="text1"/>
          <w:kern w:val="2"/>
          <w:sz w:val="24"/>
          <w:szCs w:val="24"/>
          <w:highlight w:val="none"/>
          <w14:textFill>
            <w14:solidFill>
              <w14:schemeClr w14:val="tx1"/>
            </w14:solidFill>
          </w14:textFill>
        </w:rPr>
        <w:t>成交供应商</w:t>
      </w:r>
      <w:r>
        <w:rPr>
          <w:rFonts w:hint="eastAsia" w:asciiTheme="minorEastAsia" w:hAnsiTheme="minorEastAsia" w:eastAsiaTheme="minorEastAsia" w:cstheme="minorEastAsia"/>
          <w:b w:val="0"/>
          <w:bCs w:val="0"/>
          <w:color w:val="000000" w:themeColor="text1"/>
          <w:kern w:val="2"/>
          <w:sz w:val="24"/>
          <w:szCs w:val="24"/>
          <w:highlight w:val="none"/>
          <w:lang w:val="en-US" w:eastAsia="zh-CN"/>
          <w14:textFill>
            <w14:solidFill>
              <w14:schemeClr w14:val="tx1"/>
            </w14:solidFill>
          </w14:textFill>
        </w:rPr>
        <w:t>未在竞价文件规定的时间内与采购人签订采购合同或</w:t>
      </w:r>
      <w:r>
        <w:rPr>
          <w:rFonts w:hint="eastAsia" w:asciiTheme="minorEastAsia" w:hAnsiTheme="minorEastAsia" w:eastAsiaTheme="minorEastAsia" w:cstheme="minorEastAsia"/>
          <w:b w:val="0"/>
          <w:bCs w:val="0"/>
          <w:color w:val="000000" w:themeColor="text1"/>
          <w:kern w:val="2"/>
          <w:sz w:val="24"/>
          <w:szCs w:val="24"/>
          <w:highlight w:val="none"/>
          <w14:textFill>
            <w14:solidFill>
              <w14:schemeClr w14:val="tx1"/>
            </w14:solidFill>
          </w14:textFill>
        </w:rPr>
        <w:t>拒绝与采购人签订合同的、成交供应商放弃</w:t>
      </w:r>
      <w:r>
        <w:rPr>
          <w:rFonts w:hint="eastAsia" w:asciiTheme="minorEastAsia" w:hAnsiTheme="minorEastAsia" w:eastAsiaTheme="minorEastAsia" w:cstheme="minorEastAsia"/>
          <w:b w:val="0"/>
          <w:bCs w:val="0"/>
          <w:color w:val="000000" w:themeColor="text1"/>
          <w:kern w:val="2"/>
          <w:sz w:val="24"/>
          <w:szCs w:val="24"/>
          <w:highlight w:val="none"/>
          <w:lang w:val="en-US" w:eastAsia="zh-CN"/>
          <w14:textFill>
            <w14:solidFill>
              <w14:schemeClr w14:val="tx1"/>
            </w14:solidFill>
          </w14:textFill>
        </w:rPr>
        <w:t>成交资格</w:t>
      </w:r>
      <w:r>
        <w:rPr>
          <w:rFonts w:hint="eastAsia" w:asciiTheme="minorEastAsia" w:hAnsiTheme="minorEastAsia" w:eastAsiaTheme="minorEastAsia" w:cstheme="minorEastAsia"/>
          <w:b w:val="0"/>
          <w:bCs w:val="0"/>
          <w:color w:val="000000" w:themeColor="text1"/>
          <w:kern w:val="2"/>
          <w:sz w:val="24"/>
          <w:szCs w:val="24"/>
          <w:highlight w:val="none"/>
          <w14:textFill>
            <w14:solidFill>
              <w14:schemeClr w14:val="tx1"/>
            </w14:solidFill>
          </w14:textFill>
        </w:rPr>
        <w:t>、因不可抗力不能履行合同、不按照竞价文件要求提交履约保证金</w:t>
      </w:r>
      <w:r>
        <w:rPr>
          <w:rFonts w:hint="eastAsia" w:asciiTheme="minorEastAsia" w:hAnsiTheme="minorEastAsia" w:eastAsiaTheme="minorEastAsia" w:cstheme="minorEastAsia"/>
          <w:b w:val="0"/>
          <w:bCs w:val="0"/>
          <w:color w:val="000000" w:themeColor="text1"/>
          <w:kern w:val="2"/>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2"/>
          <w:sz w:val="24"/>
          <w:szCs w:val="24"/>
          <w:highlight w:val="none"/>
          <w:lang w:val="en-US" w:eastAsia="zh-CN"/>
          <w14:textFill>
            <w14:solidFill>
              <w14:schemeClr w14:val="tx1"/>
            </w14:solidFill>
          </w14:textFill>
        </w:rPr>
        <w:t>若有</w:t>
      </w:r>
      <w:r>
        <w:rPr>
          <w:rFonts w:hint="eastAsia" w:asciiTheme="minorEastAsia" w:hAnsiTheme="minorEastAsia" w:eastAsiaTheme="minorEastAsia" w:cstheme="minorEastAsia"/>
          <w:b w:val="0"/>
          <w:bCs w:val="0"/>
          <w:color w:val="000000" w:themeColor="text1"/>
          <w:kern w:val="2"/>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2"/>
          <w:sz w:val="24"/>
          <w:szCs w:val="24"/>
          <w:highlight w:val="none"/>
          <w14:textFill>
            <w14:solidFill>
              <w14:schemeClr w14:val="tx1"/>
            </w14:solidFill>
          </w14:textFill>
        </w:rPr>
        <w:t>被查实存在影响成交结果的违法行为等</w:t>
      </w:r>
      <w:r>
        <w:rPr>
          <w:rFonts w:hint="eastAsia" w:asciiTheme="minorEastAsia" w:hAnsiTheme="minorEastAsia" w:eastAsiaTheme="minorEastAsia" w:cstheme="minorEastAsia"/>
          <w:b w:val="0"/>
          <w:bCs w:val="0"/>
          <w:color w:val="000000" w:themeColor="text1"/>
          <w:kern w:val="2"/>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2"/>
          <w:sz w:val="24"/>
          <w:szCs w:val="24"/>
          <w:highlight w:val="none"/>
          <w14:textFill>
            <w14:solidFill>
              <w14:schemeClr w14:val="tx1"/>
            </w14:solidFill>
          </w14:textFill>
        </w:rPr>
        <w:t>成交供应商</w:t>
      </w:r>
      <w:r>
        <w:rPr>
          <w:rFonts w:hint="eastAsia" w:asciiTheme="minorEastAsia" w:hAnsiTheme="minorEastAsia" w:eastAsiaTheme="minorEastAsia" w:cstheme="minorEastAsia"/>
          <w:b w:val="0"/>
          <w:bCs w:val="0"/>
          <w:color w:val="000000" w:themeColor="text1"/>
          <w:kern w:val="2"/>
          <w:sz w:val="24"/>
          <w:szCs w:val="24"/>
          <w:highlight w:val="none"/>
          <w:lang w:val="en-US" w:eastAsia="zh-CN"/>
          <w14:textFill>
            <w14:solidFill>
              <w14:schemeClr w14:val="tx1"/>
            </w14:solidFill>
          </w14:textFill>
        </w:rPr>
        <w:t>存在</w:t>
      </w:r>
      <w:r>
        <w:rPr>
          <w:rFonts w:hint="eastAsia" w:asciiTheme="minorEastAsia" w:hAnsiTheme="minorEastAsia" w:eastAsiaTheme="minorEastAsia" w:cstheme="minorEastAsia"/>
          <w:b w:val="0"/>
          <w:bCs w:val="0"/>
          <w:color w:val="000000" w:themeColor="text1"/>
          <w:kern w:val="2"/>
          <w:sz w:val="24"/>
          <w:szCs w:val="24"/>
          <w:highlight w:val="none"/>
          <w14:textFill>
            <w14:solidFill>
              <w14:schemeClr w14:val="tx1"/>
            </w14:solidFill>
          </w14:textFill>
        </w:rPr>
        <w:t>上述情形之一的</w:t>
      </w:r>
      <w:r>
        <w:rPr>
          <w:rFonts w:hint="eastAsia" w:asciiTheme="minorEastAsia" w:hAnsiTheme="minorEastAsia" w:eastAsiaTheme="minorEastAsia" w:cstheme="minorEastAsia"/>
          <w:b w:val="0"/>
          <w:bCs w:val="0"/>
          <w:color w:val="000000" w:themeColor="text1"/>
          <w:kern w:val="2"/>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采购人有权按照推荐的成交候选人名单排序，确定下一候选人为</w:t>
      </w:r>
      <w:r>
        <w:rPr>
          <w:rFonts w:hint="eastAsia" w:asciiTheme="minorEastAsia" w:hAnsiTheme="minorEastAsia" w:eastAsiaTheme="minorEastAsia" w:cstheme="minorEastAsia"/>
          <w:b w:val="0"/>
          <w:bCs w:val="0"/>
          <w:color w:val="000000" w:themeColor="text1"/>
          <w:kern w:val="2"/>
          <w:sz w:val="24"/>
          <w:szCs w:val="24"/>
          <w:highlight w:val="none"/>
          <w14:textFill>
            <w14:solidFill>
              <w14:schemeClr w14:val="tx1"/>
            </w14:solidFill>
          </w14:textFill>
        </w:rPr>
        <w:t>成交供应商</w:t>
      </w: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，也有权重新开展竞价采购活动。</w:t>
      </w:r>
    </w:p>
    <w:p w14:paraId="55A15AA1">
      <w:pPr>
        <w:pStyle w:val="6"/>
        <w:keepNext w:val="0"/>
        <w:keepLines w:val="0"/>
        <w:pageBreakBefore w:val="0"/>
        <w:kinsoku/>
        <w:overflowPunct/>
        <w:topLinePunct w:val="0"/>
        <w:bidi w:val="0"/>
        <w:snapToGrid w:val="0"/>
        <w:spacing w:line="360" w:lineRule="auto"/>
        <w:ind w:firstLine="241" w:firstLineChars="100"/>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七</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其他事项：</w:t>
      </w:r>
    </w:p>
    <w:p w14:paraId="33A1E7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除</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竞价</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文件另有规定外，若出现有关法律、法规和规章有强制性规定但</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竞价</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文件未列明的情形，则</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应按照有关法律、法规和规章强制性规定执行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7077AC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2.本网络竞价公告中的“附件1”为本项目竞价文件的组成部分，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对所有报名参加</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网络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竞价的供应商具有约束力</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 </w:t>
      </w:r>
    </w:p>
    <w:p w14:paraId="77FD893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200" w:firstLine="0"/>
        <w:jc w:val="both"/>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八</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、联系方式</w:t>
      </w:r>
    </w:p>
    <w:p w14:paraId="366B9B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代理机构联系</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电话</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：邹女士0597-2529019</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w:t>
      </w:r>
    </w:p>
    <w:p w14:paraId="174A7DB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系统</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技术服务</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电话</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：0597-2688517</w:t>
      </w:r>
    </w:p>
    <w:p w14:paraId="33C2EA6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代理机构</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财务联系电话：</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0597-2810096</w:t>
      </w:r>
    </w:p>
    <w:p w14:paraId="039786A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联系地址：龙岩市莲西路市公共资源交易中心八层   </w:t>
      </w:r>
    </w:p>
    <w:p w14:paraId="7D27E02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采购单位联系</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电话</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：邱</w:t>
      </w:r>
      <w:r>
        <w:rPr>
          <w:rFonts w:hint="eastAsia" w:asciiTheme="minorEastAsia" w:hAnsi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 xml:space="preserve">女士 </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15059173151 </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 xml:space="preserve">    </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 </w:t>
      </w:r>
    </w:p>
    <w:p w14:paraId="690CAF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96" w:leftChars="85" w:right="300" w:hanging="318" w:hangingChars="132"/>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九</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、其他要求</w:t>
      </w:r>
    </w:p>
    <w:p w14:paraId="588C2E25">
      <w:pPr>
        <w:keepNext w:val="0"/>
        <w:keepLines w:val="0"/>
        <w:pageBreakBefore w:val="0"/>
        <w:widowControl w:val="0"/>
        <w:kinsoku/>
        <w:overflowPunct/>
        <w:topLinePunct w:val="0"/>
        <w:bidi w:val="0"/>
        <w:spacing w:line="360" w:lineRule="auto"/>
        <w:ind w:firstLine="420"/>
        <w:jc w:val="both"/>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.本项目</w:t>
      </w:r>
      <w:r>
        <w:rPr>
          <w:rFonts w:hint="eastAsia" w:asciiTheme="minorEastAsia" w:hAnsiTheme="minorEastAsia" w:cstheme="minorEastAsia"/>
          <w:b w:val="0"/>
          <w:bCs w:val="0"/>
          <w:color w:val="000000" w:themeColor="text1"/>
          <w:sz w:val="24"/>
          <w:szCs w:val="24"/>
          <w:highlight w:val="none"/>
          <w:lang w:val="en-US" w:eastAsia="zh-CN"/>
          <w14:textFill>
            <w14:solidFill>
              <w14:schemeClr w14:val="tx1"/>
            </w14:solidFill>
          </w14:textFill>
        </w:rPr>
        <w:t>不收取</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竞价保证金</w:t>
      </w:r>
      <w:r>
        <w:rPr>
          <w:rFonts w:hint="eastAsia" w:asciiTheme="minorEastAsia" w:hAnsiTheme="minorEastAsia" w:cstheme="minorEastAsia"/>
          <w:b w:val="0"/>
          <w:bCs w:val="0"/>
          <w:color w:val="000000" w:themeColor="text1"/>
          <w:sz w:val="24"/>
          <w:szCs w:val="24"/>
          <w:highlight w:val="none"/>
          <w:lang w:val="en-US" w:eastAsia="zh-CN"/>
          <w14:textFill>
            <w14:solidFill>
              <w14:schemeClr w14:val="tx1"/>
            </w14:solidFill>
          </w14:textFill>
        </w:rPr>
        <w:t>。</w:t>
      </w:r>
    </w:p>
    <w:p w14:paraId="2B8F48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jc w:val="lef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4.本项目不需要办理CA。</w:t>
      </w:r>
    </w:p>
    <w:p w14:paraId="7692DC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5.</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本项目不再提供纸质成交通知书，请成交人自行登</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入龙岩国资阳光交易平台</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系统打印。</w:t>
      </w:r>
    </w:p>
    <w:p w14:paraId="51B39E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b w:val="0"/>
          <w:bCs w:val="0"/>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6.网络竞价</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具体操作流程</w:t>
      </w:r>
      <w:r>
        <w:rPr>
          <w:rFonts w:hint="eastAsia" w:asciiTheme="minorEastAsia" w:hAnsiTheme="minorEastAsia" w:eastAsiaTheme="minorEastAsia" w:cstheme="minorEastAsia"/>
          <w:b w:val="0"/>
          <w:bCs w:val="0"/>
          <w:color w:val="000000" w:themeColor="text1"/>
          <w:sz w:val="24"/>
          <w:szCs w:val="24"/>
          <w:highlight w:val="none"/>
          <w:lang w:eastAsia="zh-CN"/>
          <w14:textFill>
            <w14:solidFill>
              <w14:schemeClr w14:val="tx1"/>
            </w14:solidFill>
          </w14:textFill>
        </w:rPr>
        <w:t>详</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见</w:t>
      </w:r>
      <w:r>
        <w:rPr>
          <w:rFonts w:hint="eastAsia" w:asciiTheme="minorEastAsia" w:hAnsiTheme="minorEastAsia" w:eastAsiaTheme="minorEastAsia" w:cstheme="minorEastAsia"/>
          <w:b w:val="0"/>
          <w:bCs w:val="0"/>
          <w:color w:val="000000" w:themeColor="text1"/>
          <w:sz w:val="24"/>
          <w:szCs w:val="24"/>
          <w:highlight w:val="none"/>
          <w:lang w:eastAsia="zh-CN"/>
          <w14:textFill>
            <w14:solidFill>
              <w14:schemeClr w14:val="tx1"/>
            </w14:solidFill>
          </w14:textFill>
        </w:rPr>
        <w:t>龙岩国资阳光交易平台</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首页“</w:t>
      </w:r>
      <w:r>
        <w:rPr>
          <w:rFonts w:hint="eastAsia" w:asciiTheme="minorEastAsia" w:hAnsiTheme="minorEastAsia" w:eastAsiaTheme="minorEastAsia" w:cstheme="minorEastAsia"/>
          <w:b w:val="0"/>
          <w:bCs w:val="0"/>
          <w:color w:val="000000" w:themeColor="text1"/>
          <w:sz w:val="24"/>
          <w:szCs w:val="24"/>
          <w:highlight w:val="none"/>
          <w:lang w:eastAsia="zh-CN"/>
          <w14:textFill>
            <w14:solidFill>
              <w14:schemeClr w14:val="tx1"/>
            </w14:solidFill>
          </w14:textFill>
        </w:rPr>
        <w:t>办事指南</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-常见问题-网络竞价项目系统操作手册</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w:t>
      </w:r>
    </w:p>
    <w:p w14:paraId="7184E09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p>
    <w:p w14:paraId="1670B61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96" w:leftChars="85" w:right="300" w:hanging="318" w:hangingChars="132"/>
        <w:textAlignment w:val="auto"/>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lang w:eastAsia="zh-CN"/>
          <w14:textFill>
            <w14:solidFill>
              <w14:schemeClr w14:val="tx1"/>
            </w14:solidFill>
          </w14:textFill>
        </w:rPr>
        <w:t>十</w:t>
      </w:r>
      <w:r>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t>、招标代理服务费</w:t>
      </w:r>
    </w:p>
    <w:p w14:paraId="22E06E3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本项目的招标代理服务费按以下标准</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向成交供应商收取</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（服务费不足</w:t>
      </w:r>
      <w:r>
        <w:rPr>
          <w:rFonts w:hint="eastAsia" w:asciiTheme="minorEastAsia" w:hAnsi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000元，按</w:t>
      </w:r>
      <w:r>
        <w:rPr>
          <w:rFonts w:hint="eastAsia" w:asciiTheme="minorEastAsia" w:hAnsi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000元收取</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。成交供应商须在结果公告发布后5个工作日内，将招标代理服务费缴至代理机构</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eastAsia="zh-CN"/>
          <w14:textFill>
            <w14:solidFill>
              <w14:schemeClr w14:val="tx1"/>
            </w14:solidFill>
          </w14:textFill>
        </w:rPr>
        <w:t>账</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户。</w:t>
      </w:r>
    </w:p>
    <w:tbl>
      <w:tblPr>
        <w:tblStyle w:val="12"/>
        <w:tblW w:w="9427"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53"/>
        <w:gridCol w:w="2010"/>
        <w:gridCol w:w="2084"/>
        <w:gridCol w:w="1866"/>
        <w:gridCol w:w="1714"/>
      </w:tblGrid>
      <w:tr w14:paraId="53F7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blCellSpacing w:w="0" w:type="dxa"/>
          <w:jc w:val="center"/>
        </w:trPr>
        <w:tc>
          <w:tcPr>
            <w:tcW w:w="1753" w:type="dxa"/>
            <w:vMerge w:val="restart"/>
            <w:noWrap w:val="0"/>
            <w:vAlign w:val="center"/>
          </w:tcPr>
          <w:p w14:paraId="18C42EDA">
            <w:pPr>
              <w:keepNext w:val="0"/>
              <w:keepLines w:val="0"/>
              <w:pageBreakBefore w:val="0"/>
              <w:widowControl/>
              <w:kinsoku/>
              <w:overflowPunct/>
              <w:topLinePunct w:val="0"/>
              <w:bidi w:val="0"/>
              <w:spacing w:line="360" w:lineRule="auto"/>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成交金额（万元）</w:t>
            </w:r>
          </w:p>
        </w:tc>
        <w:tc>
          <w:tcPr>
            <w:tcW w:w="5960" w:type="dxa"/>
            <w:gridSpan w:val="3"/>
            <w:noWrap w:val="0"/>
            <w:vAlign w:val="center"/>
          </w:tcPr>
          <w:p w14:paraId="6505ABA5">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服务费比率</w:t>
            </w:r>
          </w:p>
        </w:tc>
        <w:tc>
          <w:tcPr>
            <w:tcW w:w="1714" w:type="dxa"/>
            <w:vMerge w:val="restart"/>
            <w:tcBorders>
              <w:left w:val="single" w:color="auto" w:sz="4" w:space="0"/>
            </w:tcBorders>
            <w:noWrap w:val="0"/>
            <w:vAlign w:val="center"/>
          </w:tcPr>
          <w:p w14:paraId="2D31E906">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备注</w:t>
            </w:r>
          </w:p>
        </w:tc>
      </w:tr>
      <w:tr w14:paraId="24B4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blCellSpacing w:w="0" w:type="dxa"/>
          <w:jc w:val="center"/>
        </w:trPr>
        <w:tc>
          <w:tcPr>
            <w:tcW w:w="1753" w:type="dxa"/>
            <w:vMerge w:val="continue"/>
            <w:noWrap w:val="0"/>
            <w:vAlign w:val="center"/>
          </w:tcPr>
          <w:p w14:paraId="0460FAF6">
            <w:pPr>
              <w:keepNext w:val="0"/>
              <w:keepLines w:val="0"/>
              <w:pageBreakBefore w:val="0"/>
              <w:widowControl/>
              <w:kinsoku/>
              <w:overflowPunct/>
              <w:topLinePunct w:val="0"/>
              <w:bidi w:val="0"/>
              <w:spacing w:line="360" w:lineRule="auto"/>
              <w:textAlignment w:val="auto"/>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p>
        </w:tc>
        <w:tc>
          <w:tcPr>
            <w:tcW w:w="2010" w:type="dxa"/>
            <w:tcBorders>
              <w:right w:val="single" w:color="auto" w:sz="12" w:space="0"/>
            </w:tcBorders>
            <w:noWrap w:val="0"/>
            <w:vAlign w:val="center"/>
          </w:tcPr>
          <w:p w14:paraId="683296DD">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货物类</w:t>
            </w:r>
          </w:p>
        </w:tc>
        <w:tc>
          <w:tcPr>
            <w:tcW w:w="2084" w:type="dxa"/>
            <w:tcBorders>
              <w:right w:val="single" w:color="auto" w:sz="12" w:space="0"/>
            </w:tcBorders>
            <w:noWrap w:val="0"/>
            <w:vAlign w:val="center"/>
          </w:tcPr>
          <w:p w14:paraId="0BE6CB83">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t>服务类</w:t>
            </w:r>
          </w:p>
        </w:tc>
        <w:tc>
          <w:tcPr>
            <w:tcW w:w="1866" w:type="dxa"/>
            <w:tcBorders>
              <w:left w:val="single" w:color="auto" w:sz="4" w:space="0"/>
            </w:tcBorders>
            <w:noWrap w:val="0"/>
            <w:vAlign w:val="center"/>
          </w:tcPr>
          <w:p w14:paraId="6712607F">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t>工程类</w:t>
            </w:r>
          </w:p>
        </w:tc>
        <w:tc>
          <w:tcPr>
            <w:tcW w:w="1714" w:type="dxa"/>
            <w:vMerge w:val="continue"/>
            <w:tcBorders>
              <w:left w:val="single" w:color="auto" w:sz="4" w:space="0"/>
            </w:tcBorders>
            <w:noWrap w:val="0"/>
            <w:vAlign w:val="center"/>
          </w:tcPr>
          <w:p w14:paraId="67395B25">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r>
      <w:tr w14:paraId="6129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0" w:hRule="atLeast"/>
          <w:tblCellSpacing w:w="0" w:type="dxa"/>
          <w:jc w:val="center"/>
        </w:trPr>
        <w:tc>
          <w:tcPr>
            <w:tcW w:w="1753" w:type="dxa"/>
            <w:noWrap w:val="0"/>
            <w:vAlign w:val="center"/>
          </w:tcPr>
          <w:p w14:paraId="0155F65B">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100以下</w:t>
            </w:r>
          </w:p>
        </w:tc>
        <w:tc>
          <w:tcPr>
            <w:tcW w:w="2010" w:type="dxa"/>
            <w:tcBorders>
              <w:right w:val="single" w:color="auto" w:sz="12" w:space="0"/>
            </w:tcBorders>
            <w:noWrap w:val="0"/>
            <w:vAlign w:val="center"/>
          </w:tcPr>
          <w:p w14:paraId="00EAACAA">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1.5%</w:t>
            </w:r>
          </w:p>
        </w:tc>
        <w:tc>
          <w:tcPr>
            <w:tcW w:w="2084" w:type="dxa"/>
            <w:tcBorders>
              <w:right w:val="single" w:color="auto" w:sz="12" w:space="0"/>
            </w:tcBorders>
            <w:noWrap w:val="0"/>
            <w:vAlign w:val="center"/>
          </w:tcPr>
          <w:p w14:paraId="7FB54804">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w:t>
            </w:r>
          </w:p>
        </w:tc>
        <w:tc>
          <w:tcPr>
            <w:tcW w:w="1866" w:type="dxa"/>
            <w:tcBorders>
              <w:left w:val="single" w:color="auto" w:sz="4" w:space="0"/>
            </w:tcBorders>
            <w:noWrap w:val="0"/>
            <w:vAlign w:val="top"/>
          </w:tcPr>
          <w:p w14:paraId="57B14A90">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1.0%</w:t>
            </w:r>
          </w:p>
        </w:tc>
        <w:tc>
          <w:tcPr>
            <w:tcW w:w="1714" w:type="dxa"/>
            <w:vMerge w:val="restart"/>
            <w:tcBorders>
              <w:left w:val="single" w:color="auto" w:sz="4" w:space="0"/>
            </w:tcBorders>
            <w:noWrap w:val="0"/>
            <w:vAlign w:val="top"/>
          </w:tcPr>
          <w:p w14:paraId="58E247C2">
            <w:pPr>
              <w:keepNext w:val="0"/>
              <w:keepLines w:val="0"/>
              <w:pageBreakBefore w:val="0"/>
              <w:widowControl/>
              <w:kinsoku/>
              <w:overflowPunct/>
              <w:topLinePunct w:val="0"/>
              <w:bidi w:val="0"/>
              <w:spacing w:line="360" w:lineRule="auto"/>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成交服务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费按差额定率累进法计算。</w:t>
            </w:r>
          </w:p>
        </w:tc>
      </w:tr>
      <w:tr w14:paraId="1D01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0" w:hRule="atLeast"/>
          <w:tblCellSpacing w:w="0" w:type="dxa"/>
          <w:jc w:val="center"/>
        </w:trPr>
        <w:tc>
          <w:tcPr>
            <w:tcW w:w="1753" w:type="dxa"/>
            <w:noWrap w:val="0"/>
            <w:vAlign w:val="center"/>
          </w:tcPr>
          <w:p w14:paraId="280E4F39">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100—500</w:t>
            </w:r>
          </w:p>
        </w:tc>
        <w:tc>
          <w:tcPr>
            <w:tcW w:w="2010" w:type="dxa"/>
            <w:tcBorders>
              <w:right w:val="single" w:color="auto" w:sz="12" w:space="0"/>
            </w:tcBorders>
            <w:noWrap w:val="0"/>
            <w:vAlign w:val="center"/>
          </w:tcPr>
          <w:p w14:paraId="4016B1B6">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1.1%</w:t>
            </w:r>
          </w:p>
        </w:tc>
        <w:tc>
          <w:tcPr>
            <w:tcW w:w="2084" w:type="dxa"/>
            <w:tcBorders>
              <w:right w:val="single" w:color="auto" w:sz="12" w:space="0"/>
            </w:tcBorders>
            <w:noWrap w:val="0"/>
            <w:vAlign w:val="center"/>
          </w:tcPr>
          <w:p w14:paraId="66DD7096">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0.8％</w:t>
            </w:r>
          </w:p>
        </w:tc>
        <w:tc>
          <w:tcPr>
            <w:tcW w:w="1866" w:type="dxa"/>
            <w:tcBorders>
              <w:left w:val="single" w:color="auto" w:sz="4" w:space="0"/>
            </w:tcBorders>
            <w:noWrap w:val="0"/>
            <w:vAlign w:val="center"/>
          </w:tcPr>
          <w:p w14:paraId="5320C918">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0.7%</w:t>
            </w:r>
          </w:p>
        </w:tc>
        <w:tc>
          <w:tcPr>
            <w:tcW w:w="1714" w:type="dxa"/>
            <w:vMerge w:val="continue"/>
            <w:tcBorders>
              <w:left w:val="single" w:color="auto" w:sz="4" w:space="0"/>
            </w:tcBorders>
            <w:noWrap w:val="0"/>
            <w:vAlign w:val="center"/>
          </w:tcPr>
          <w:p w14:paraId="772F6F32">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r>
      <w:tr w14:paraId="0547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0" w:hRule="atLeast"/>
          <w:tblCellSpacing w:w="0" w:type="dxa"/>
          <w:jc w:val="center"/>
        </w:trPr>
        <w:tc>
          <w:tcPr>
            <w:tcW w:w="1753" w:type="dxa"/>
            <w:noWrap w:val="0"/>
            <w:vAlign w:val="center"/>
          </w:tcPr>
          <w:p w14:paraId="120F2F25">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500—1000</w:t>
            </w:r>
          </w:p>
        </w:tc>
        <w:tc>
          <w:tcPr>
            <w:tcW w:w="2010" w:type="dxa"/>
            <w:tcBorders>
              <w:right w:val="single" w:color="auto" w:sz="12" w:space="0"/>
            </w:tcBorders>
            <w:noWrap w:val="0"/>
            <w:vAlign w:val="center"/>
          </w:tcPr>
          <w:p w14:paraId="0E0ECF5A">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0.8%</w:t>
            </w:r>
          </w:p>
        </w:tc>
        <w:tc>
          <w:tcPr>
            <w:tcW w:w="2084" w:type="dxa"/>
            <w:tcBorders>
              <w:right w:val="single" w:color="auto" w:sz="12" w:space="0"/>
            </w:tcBorders>
            <w:noWrap w:val="0"/>
            <w:vAlign w:val="center"/>
          </w:tcPr>
          <w:p w14:paraId="009A79B7">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0.45％</w:t>
            </w:r>
          </w:p>
        </w:tc>
        <w:tc>
          <w:tcPr>
            <w:tcW w:w="1866" w:type="dxa"/>
            <w:tcBorders>
              <w:left w:val="single" w:color="auto" w:sz="4" w:space="0"/>
            </w:tcBorders>
            <w:noWrap w:val="0"/>
            <w:vAlign w:val="center"/>
          </w:tcPr>
          <w:p w14:paraId="25E505FE">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0.55%</w:t>
            </w:r>
          </w:p>
        </w:tc>
        <w:tc>
          <w:tcPr>
            <w:tcW w:w="1714" w:type="dxa"/>
            <w:vMerge w:val="continue"/>
            <w:tcBorders>
              <w:left w:val="single" w:color="auto" w:sz="4" w:space="0"/>
            </w:tcBorders>
            <w:noWrap w:val="0"/>
            <w:vAlign w:val="center"/>
          </w:tcPr>
          <w:p w14:paraId="6D9681EF">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r>
      <w:tr w14:paraId="7E48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0" w:hRule="atLeast"/>
          <w:tblCellSpacing w:w="0" w:type="dxa"/>
          <w:jc w:val="center"/>
        </w:trPr>
        <w:tc>
          <w:tcPr>
            <w:tcW w:w="1753" w:type="dxa"/>
            <w:noWrap w:val="0"/>
            <w:vAlign w:val="center"/>
          </w:tcPr>
          <w:p w14:paraId="464FE6E7">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1000—5000</w:t>
            </w:r>
          </w:p>
        </w:tc>
        <w:tc>
          <w:tcPr>
            <w:tcW w:w="2010" w:type="dxa"/>
            <w:tcBorders>
              <w:right w:val="single" w:color="auto" w:sz="12" w:space="0"/>
            </w:tcBorders>
            <w:noWrap w:val="0"/>
            <w:vAlign w:val="center"/>
          </w:tcPr>
          <w:p w14:paraId="34FC7C95">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0.5%</w:t>
            </w:r>
          </w:p>
        </w:tc>
        <w:tc>
          <w:tcPr>
            <w:tcW w:w="2084" w:type="dxa"/>
            <w:tcBorders>
              <w:right w:val="single" w:color="auto" w:sz="12" w:space="0"/>
            </w:tcBorders>
            <w:noWrap w:val="0"/>
            <w:vAlign w:val="center"/>
          </w:tcPr>
          <w:p w14:paraId="67D168BC">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0.25％</w:t>
            </w:r>
          </w:p>
        </w:tc>
        <w:tc>
          <w:tcPr>
            <w:tcW w:w="1866" w:type="dxa"/>
            <w:tcBorders>
              <w:left w:val="single" w:color="auto" w:sz="4" w:space="0"/>
            </w:tcBorders>
            <w:noWrap w:val="0"/>
            <w:vAlign w:val="center"/>
          </w:tcPr>
          <w:p w14:paraId="3443DD49">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0.35%</w:t>
            </w:r>
          </w:p>
        </w:tc>
        <w:tc>
          <w:tcPr>
            <w:tcW w:w="1714" w:type="dxa"/>
            <w:vMerge w:val="continue"/>
            <w:tcBorders>
              <w:left w:val="single" w:color="auto" w:sz="4" w:space="0"/>
            </w:tcBorders>
            <w:noWrap w:val="0"/>
            <w:vAlign w:val="center"/>
          </w:tcPr>
          <w:p w14:paraId="10444FFA">
            <w:pPr>
              <w:keepNext w:val="0"/>
              <w:keepLines w:val="0"/>
              <w:pageBreakBefore w:val="0"/>
              <w:widowControl/>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r>
    </w:tbl>
    <w:p w14:paraId="391FC8B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300" w:firstLine="480" w:firstLineChars="20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代理服务费收款信息（供应商转账时应备注项目编号及用途）</w:t>
      </w:r>
    </w:p>
    <w:p w14:paraId="402A00A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开户行：兴业银行龙岩分行</w:t>
      </w:r>
    </w:p>
    <w:p w14:paraId="1CFF8A1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开户名：龙岩市公物采购招标代理有限公司</w:t>
      </w:r>
    </w:p>
    <w:p w14:paraId="0C7D1EB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账号：171030100100100399（此账号非保证金账户）</w:t>
      </w:r>
    </w:p>
    <w:p w14:paraId="046445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缴款信息查询联系人：吴女士（0597-2810096）</w:t>
      </w:r>
    </w:p>
    <w:p w14:paraId="7392B3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t>招标代理服务费开票信息发送邮箱：longyancaigou@sina.com（开票信息请备注专票或普票）</w:t>
      </w:r>
    </w:p>
    <w:p w14:paraId="24DC3CF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pPr>
    </w:p>
    <w:p w14:paraId="6EE8663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00" w:right="300" w:firstLine="240"/>
        <w:textAlignment w:val="auto"/>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pPr>
    </w:p>
    <w:p w14:paraId="1F7E6D9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jc w:val="righ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 </w:t>
      </w:r>
    </w:p>
    <w:p w14:paraId="370854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jc w:val="right"/>
        <w:textAlignment w:val="auto"/>
        <w:rPr>
          <w:rFonts w:hint="eastAsia" w:asciiTheme="minorEastAsia" w:hAnsiTheme="minorEastAsia" w:eastAsiaTheme="minorEastAsia" w:cstheme="minorEastAsia"/>
          <w:i w:val="0"/>
          <w:iCs w:val="0"/>
          <w:caps w:val="0"/>
          <w:color w:val="000000" w:themeColor="text1"/>
          <w:spacing w:val="0"/>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shd w:val="clear" w:fill="FFFFFF"/>
          <w14:textFill>
            <w14:solidFill>
              <w14:schemeClr w14:val="tx1"/>
            </w14:solidFill>
          </w14:textFill>
        </w:rPr>
        <w:t>龙岩市公物采购招标代理有限公司</w:t>
      </w:r>
    </w:p>
    <w:p w14:paraId="5C10516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textAlignment w:val="auto"/>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pPr>
    </w:p>
    <w:p w14:paraId="1FA886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300" w:right="300" w:firstLine="0"/>
        <w:textAlignment w:val="auto"/>
        <w:rPr>
          <w:rFonts w:hint="eastAsia" w:asciiTheme="minorEastAsia" w:hAnsiTheme="minorEastAsia" w:eastAsiaTheme="minorEastAsia" w:cstheme="minorEastAsia"/>
          <w:b/>
          <w:bCs/>
          <w:i w:val="0"/>
          <w:iCs w:val="0"/>
          <w:caps w:val="0"/>
          <w:color w:val="000000" w:themeColor="text1"/>
          <w:spacing w:val="0"/>
          <w:sz w:val="24"/>
          <w:szCs w:val="24"/>
          <w:highlight w:val="none"/>
          <w:shd w:val="clear" w:fill="FFFFFF"/>
          <w14:textFill>
            <w14:solidFill>
              <w14:schemeClr w14:val="tx1"/>
            </w14:solidFill>
          </w14:textFill>
        </w:rPr>
      </w:pPr>
    </w:p>
    <w:p w14:paraId="5604D610">
      <w:pPr>
        <w:pStyle w:val="10"/>
        <w:keepNext w:val="0"/>
        <w:keepLines w:val="0"/>
        <w:pageBreakBefore w:val="0"/>
        <w:widowControl/>
        <w:shd w:val="clear" w:color="auto" w:fill="FFFFFF"/>
        <w:kinsoku/>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b/>
          <w:bCs/>
          <w:color w:val="000000" w:themeColor="text1"/>
          <w:sz w:val="24"/>
          <w:szCs w:val="24"/>
          <w:highlight w:val="none"/>
          <w:shd w:val="clear" w:color="auto" w:fill="FFFFFF"/>
          <w14:textFill>
            <w14:solidFill>
              <w14:schemeClr w14:val="tx1"/>
            </w14:solidFill>
          </w14:textFill>
        </w:rPr>
      </w:pPr>
    </w:p>
    <w:p w14:paraId="75743CF8">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shd w:val="clear" w:color="auto" w:fill="FFFFFF"/>
          <w14:textFill>
            <w14:solidFill>
              <w14:schemeClr w14:val="tx1"/>
            </w14:solidFill>
          </w14:textFill>
        </w:rPr>
        <w:t>附件</w:t>
      </w:r>
      <w:r>
        <w:rPr>
          <w:rFonts w:hint="eastAsia" w:asciiTheme="minorEastAsia" w:hAnsiTheme="minorEastAsia" w:eastAsiaTheme="minorEastAsia" w:cstheme="minorEastAsia"/>
          <w:b/>
          <w:bCs/>
          <w:color w:val="000000" w:themeColor="text1"/>
          <w:sz w:val="24"/>
          <w:szCs w:val="24"/>
          <w:highlight w:val="none"/>
          <w:shd w:val="clear" w:color="auto" w:fill="FFFFFF"/>
          <w:lang w:val="en-US" w:eastAsia="zh-CN"/>
          <w14:textFill>
            <w14:solidFill>
              <w14:schemeClr w14:val="tx1"/>
            </w14:solidFill>
          </w14:textFill>
        </w:rPr>
        <w:t>1：</w:t>
      </w:r>
    </w:p>
    <w:p w14:paraId="1FB5427C">
      <w:pPr>
        <w:pStyle w:val="10"/>
        <w:keepNext w:val="0"/>
        <w:keepLines w:val="0"/>
        <w:pageBreakBefore w:val="0"/>
        <w:widowControl/>
        <w:shd w:val="clear" w:color="auto" w:fill="FFFFFF"/>
        <w:kinsoku/>
        <w:wordWrap/>
        <w:overflowPunct/>
        <w:topLinePunct w:val="0"/>
        <w:bidi w:val="0"/>
        <w:spacing w:beforeAutospacing="0" w:afterAutospacing="0" w:line="360" w:lineRule="auto"/>
        <w:ind w:right="3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shd w:val="clear" w:color="auto" w:fill="FFFFFF"/>
          <w14:textFill>
            <w14:solidFill>
              <w14:schemeClr w14:val="tx1"/>
            </w14:solidFill>
          </w14:textFill>
        </w:rPr>
        <w:t>一</w:t>
      </w:r>
      <w:r>
        <w:rPr>
          <w:rFonts w:hint="eastAsia" w:asciiTheme="minorEastAsia" w:hAnsiTheme="minorEastAsia" w:eastAsiaTheme="minorEastAsia" w:cstheme="minorEastAsia"/>
          <w:b/>
          <w:bCs/>
          <w:color w:val="000000" w:themeColor="text1"/>
          <w:sz w:val="24"/>
          <w:szCs w:val="24"/>
          <w:highlight w:val="none"/>
          <w:shd w:val="clear" w:color="auto" w:fill="FFFFFF"/>
          <w:lang w:val="en-US"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shd w:val="clear" w:color="auto" w:fill="FFFFFF"/>
          <w14:textFill>
            <w14:solidFill>
              <w14:schemeClr w14:val="tx1"/>
            </w14:solidFill>
          </w14:textFill>
        </w:rPr>
        <w:t>网上竞价须知</w:t>
      </w:r>
    </w:p>
    <w:p w14:paraId="134F55CF">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凡有意参加竞价的潜在供应商，请于报名期限内通过</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龙岩国资阳光交易平台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（网址：http://lyygjyfw.etrading.cn/）免费注册后使用会员账号在</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龙岩国资阳光交易平台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上公开信息系统按项目进行报名，具体操作流程见</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龙岩国资阳光交易平台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首页“</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办事指南</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-常见问题-网络竞价项目系统操作手册</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04FAFFBF">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供应商凭注册时登记的用户名和密码登录后台参与相关竞价项目的网上报价活动。</w:t>
      </w:r>
    </w:p>
    <w:p w14:paraId="77DA168D">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成交供应商自行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登录龙岩国资阳光交易平台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系统打印并按规定的时间与采购单位签订、履行采购合同。</w:t>
      </w:r>
    </w:p>
    <w:p w14:paraId="1DDE0BDE">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办理货款支付手续。</w:t>
      </w:r>
    </w:p>
    <w:p w14:paraId="1C8A5DCF">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二</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网上竞价实施范围及收费标准</w:t>
      </w:r>
    </w:p>
    <w:p w14:paraId="6976D3B4">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shd w:val="clear" w:color="auto" w:fill="FFFFFF"/>
          <w14:textFill>
            <w14:solidFill>
              <w14:schemeClr w14:val="tx1"/>
            </w14:solidFill>
          </w14:textFill>
        </w:rPr>
      </w:pPr>
    </w:p>
    <w:p w14:paraId="7FABCFD6">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shd w:val="clear" w:color="auto" w:fill="FFFFFF"/>
          <w14:textFill>
            <w14:solidFill>
              <w14:schemeClr w14:val="tx1"/>
            </w14:solidFill>
          </w14:textFill>
        </w:rPr>
        <w:t>1</w:t>
      </w:r>
      <w:r>
        <w:rPr>
          <w:rFonts w:hint="eastAsia" w:asciiTheme="minorEastAsia" w:hAnsiTheme="minorEastAsia" w:eastAsiaTheme="minorEastAsia" w:cstheme="minorEastAsia"/>
          <w:color w:val="000000" w:themeColor="text1"/>
          <w:kern w:val="2"/>
          <w:sz w:val="24"/>
          <w:szCs w:val="24"/>
          <w:highlight w:val="none"/>
          <w:shd w:val="clear" w:color="auto" w:fill="FFFFFF"/>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2"/>
          <w:sz w:val="24"/>
          <w:szCs w:val="24"/>
          <w:highlight w:val="none"/>
          <w:shd w:val="clear" w:color="auto" w:fill="FFFFFF"/>
          <w14:textFill>
            <w14:solidFill>
              <w14:schemeClr w14:val="tx1"/>
            </w14:solidFill>
          </w14:textFill>
        </w:rPr>
        <w:t>实施范围：企业采购、行政、事业单位未在《政府采购目录内》产品及允许采购单位自行组织采购的项目。</w:t>
      </w:r>
    </w:p>
    <w:p w14:paraId="3C93D41C">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shd w:val="clear" w:color="auto" w:fill="FFFFFF"/>
          <w14:textFill>
            <w14:solidFill>
              <w14:schemeClr w14:val="tx1"/>
            </w14:solidFill>
          </w14:textFill>
        </w:rPr>
        <w:t>2</w:t>
      </w:r>
      <w:r>
        <w:rPr>
          <w:rFonts w:hint="eastAsia" w:asciiTheme="minorEastAsia" w:hAnsiTheme="minorEastAsia" w:eastAsiaTheme="minorEastAsia" w:cstheme="minorEastAsia"/>
          <w:color w:val="000000" w:themeColor="text1"/>
          <w:kern w:val="2"/>
          <w:sz w:val="24"/>
          <w:szCs w:val="24"/>
          <w:highlight w:val="none"/>
          <w:shd w:val="clear" w:color="auto" w:fill="FFFFFF"/>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2"/>
          <w:sz w:val="24"/>
          <w:szCs w:val="24"/>
          <w:highlight w:val="none"/>
          <w:shd w:val="clear" w:color="auto" w:fill="FFFFFF"/>
          <w14:textFill>
            <w14:solidFill>
              <w14:schemeClr w14:val="tx1"/>
            </w14:solidFill>
          </w14:textFill>
        </w:rPr>
        <w:t>收费标准：以公告内容为准。</w:t>
      </w:r>
    </w:p>
    <w:p w14:paraId="2854B27A">
      <w:pPr>
        <w:pStyle w:val="5"/>
        <w:keepNext w:val="0"/>
        <w:keepLines w:val="0"/>
        <w:pageBreakBefore w:val="0"/>
        <w:tabs>
          <w:tab w:val="left" w:pos="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bookmarkStart w:id="0" w:name="_Toc9216"/>
      <w:bookmarkStart w:id="1" w:name="_Toc30006"/>
      <w:bookmarkStart w:id="2" w:name="_Toc4271"/>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三</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、竞价采购文件的澄清、补充和修改</w:t>
      </w:r>
      <w:bookmarkEnd w:id="0"/>
      <w:bookmarkEnd w:id="1"/>
      <w:bookmarkEnd w:id="2"/>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p>
    <w:p w14:paraId="3CD75A76">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竞价采购文件的澄清、补充和修改公告，采购代理机构将在</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龙岩国资阳光交易平台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站上发布公告，不再另行通知，请竞价供应商及时浏览网上公告信息，凡因未及时浏览或误读、误解网上公告信息而产生的过失，采购代理机构不承担任何责任。</w:t>
      </w:r>
    </w:p>
    <w:p w14:paraId="260841B9">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在竞价采购报价开始前任何时候，采购代理机构无论出于何种原因，均可对竞价采购文件用补充文件的方式进行澄清、补充、修改，并在</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龙岩国资阳光交易平台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网上发布补充公告。</w:t>
      </w:r>
    </w:p>
    <w:p w14:paraId="280D255D">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澄清、补充、修改文件将作为竞价采购文件的组成部分，对所有报名参加网上竞价的供应商具有约束力。</w:t>
      </w:r>
    </w:p>
    <w:p w14:paraId="51F083BB">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采购文件、澄清、补充、修改文件之间的内容前后不一致时，以最新发布的公告为准。</w:t>
      </w:r>
    </w:p>
    <w:p w14:paraId="297D3A2F">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因不可预见的原因导致上述竞价交易方式不能正常进行的，本公司有权中止交易或临时决定采用其它竞价方式和竞价交易规则。</w:t>
      </w:r>
    </w:p>
    <w:p w14:paraId="0E4E816D">
      <w:pPr>
        <w:pStyle w:val="5"/>
        <w:keepNext w:val="0"/>
        <w:keepLines w:val="0"/>
        <w:pageBreakBefore w:val="0"/>
        <w:tabs>
          <w:tab w:val="left" w:pos="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3" w:name="_Toc31611"/>
      <w:bookmarkStart w:id="4" w:name="_Toc24635"/>
      <w:bookmarkStart w:id="5" w:name="_Toc5632"/>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四</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竞价响应文件</w:t>
      </w:r>
      <w:bookmarkEnd w:id="3"/>
      <w:bookmarkEnd w:id="4"/>
      <w:bookmarkEnd w:id="5"/>
    </w:p>
    <w:p w14:paraId="6BF8DB2B">
      <w:pPr>
        <w:keepNext w:val="0"/>
        <w:keepLines w:val="0"/>
        <w:pageBreakBefore w:val="0"/>
        <w:numPr>
          <w:ilvl w:val="0"/>
          <w:numId w:val="0"/>
        </w:numPr>
        <w:kinsoku/>
        <w:wordWrap/>
        <w:overflowPunct/>
        <w:topLinePunct w:val="0"/>
        <w:bidi w:val="0"/>
        <w:spacing w:line="360" w:lineRule="auto"/>
        <w:ind w:left="210" w:leftChars="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1.竞价供应商根据网上注册并已审核通过的用户名和密码，具体操作流程见公告首页“办事指南-供应商操作手册”。</w:t>
      </w:r>
    </w:p>
    <w:p w14:paraId="343D9F7D">
      <w:pPr>
        <w:keepNext w:val="0"/>
        <w:keepLines w:val="0"/>
        <w:pageBreakBefore w:val="0"/>
        <w:numPr>
          <w:ilvl w:val="0"/>
          <w:numId w:val="0"/>
        </w:numPr>
        <w:kinsoku/>
        <w:wordWrap/>
        <w:overflowPunct/>
        <w:topLinePunct w:val="0"/>
        <w:bidi w:val="0"/>
        <w:spacing w:line="360" w:lineRule="auto"/>
        <w:ind w:left="210" w:leftChars="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2.供应商的响应文件（即供应商报价文件材料）必须填报的事项包括：</w:t>
      </w:r>
    </w:p>
    <w:p w14:paraId="7943C640">
      <w:pPr>
        <w:keepNext w:val="0"/>
        <w:keepLines w:val="0"/>
        <w:pageBreakBefore w:val="0"/>
        <w:kinsoku/>
        <w:wordWrap/>
        <w:overflowPunct/>
        <w:topLinePunct w:val="0"/>
        <w:bidi w:val="0"/>
        <w:spacing w:line="360" w:lineRule="auto"/>
        <w:ind w:firstLine="240" w:firstLineChars="10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2.1.竞价采购文件有其他要求的，应按要求填报。供应商在填写响应文件时，必须根据实际情况如实填报。响应文件未按要求填报的或供应商的响应内容不符合竞价采购文件要求的，将被视为不具备实质性响应竞价采购文件，竞价被拒绝。</w:t>
      </w:r>
    </w:p>
    <w:p w14:paraId="7FB64736">
      <w:pPr>
        <w:keepNext w:val="0"/>
        <w:keepLines w:val="0"/>
        <w:pageBreakBefore w:val="0"/>
        <w:numPr>
          <w:ilvl w:val="0"/>
          <w:numId w:val="0"/>
        </w:numPr>
        <w:kinsoku/>
        <w:wordWrap/>
        <w:overflowPunct/>
        <w:topLinePunct w:val="0"/>
        <w:bidi w:val="0"/>
        <w:spacing w:line="360" w:lineRule="auto"/>
        <w:ind w:firstLine="240" w:firstLineChars="10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3.竞价截止时间前，供应商可对竞价项目进行单次或多次报价，网络接受的报价为供应商最后一次提交的报价（供应商上传的报价表报价必须与系统客户端最后一次填报的报价一致，否则为无效竞价）。供应商应当谨慎报价，因报价不慎而出现的不利后果由供应商自行承担。采购代理机构不接受纸质报价材料。</w:t>
      </w:r>
    </w:p>
    <w:p w14:paraId="45611212">
      <w:pPr>
        <w:pStyle w:val="10"/>
        <w:keepNext w:val="0"/>
        <w:keepLines w:val="0"/>
        <w:pageBreakBefore w:val="0"/>
        <w:shd w:val="clear" w:color="auto" w:fill="FFFFFF"/>
        <w:kinsoku/>
        <w:wordWrap/>
        <w:overflowPunct/>
        <w:topLinePunct w:val="0"/>
        <w:autoSpaceDE/>
        <w:autoSpaceDN/>
        <w:bidi w:val="0"/>
        <w:adjustRightInd/>
        <w:snapToGrid/>
        <w:spacing w:before="0" w:beforeAutospacing="0" w:after="96" w:afterAutospacing="0" w:line="360" w:lineRule="auto"/>
        <w:ind w:firstLine="24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4.供 应 商报价包含保修费、材料费、税金、运输费、保险费、安装调试费、安装费、技术服务费、装卸费、辅材费等至验收合格交付使用的一切费用，采购单位不再额外支付其它任何费用。</w:t>
      </w:r>
    </w:p>
    <w:p w14:paraId="1C671E0B">
      <w:pPr>
        <w:pStyle w:val="10"/>
        <w:keepNext w:val="0"/>
        <w:keepLines w:val="0"/>
        <w:pageBreakBefore w:val="0"/>
        <w:shd w:val="clear" w:color="auto" w:fill="FFFFFF"/>
        <w:kinsoku/>
        <w:wordWrap/>
        <w:overflowPunct/>
        <w:topLinePunct w:val="0"/>
        <w:autoSpaceDE/>
        <w:autoSpaceDN/>
        <w:bidi w:val="0"/>
        <w:adjustRightInd/>
        <w:snapToGrid/>
        <w:spacing w:before="0" w:beforeAutospacing="0" w:after="96" w:afterAutospacing="0" w:line="360" w:lineRule="auto"/>
        <w:ind w:firstLine="24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5.竞价供应商的响应文件以竞价截止时龙岩国资阳光交易平台服务器数据库记录为准，一切因供应商网络通信或操作失误造成的竞价数据错误或缺失均与我公司无关。竞价截止时间，以服务器终端显示的时间为准，请各竞价供应商认真输入响应文件并合理选择上传时间，以免造成不必要的损失。</w:t>
      </w:r>
    </w:p>
    <w:p w14:paraId="20643588">
      <w:pPr>
        <w:pStyle w:val="10"/>
        <w:keepNext w:val="0"/>
        <w:keepLines w:val="0"/>
        <w:pageBreakBefore w:val="0"/>
        <w:shd w:val="clear" w:color="auto" w:fill="FFFFFF"/>
        <w:kinsoku/>
        <w:wordWrap/>
        <w:overflowPunct/>
        <w:topLinePunct w:val="0"/>
        <w:autoSpaceDE/>
        <w:autoSpaceDN/>
        <w:bidi w:val="0"/>
        <w:adjustRightInd/>
        <w:snapToGrid/>
        <w:spacing w:before="0" w:beforeAutospacing="0" w:after="96" w:afterAutospacing="0" w:line="360" w:lineRule="auto"/>
        <w:ind w:firstLine="24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6.如龙岩国资阳光交易平台平台遇网络故障或服务器故障等重大问题影响正常报价的，则延期竞价时间，延期后的竞价时间以网上公告为准，已经报价的供应商对延期的项目须重新报价。</w:t>
      </w:r>
    </w:p>
    <w:p w14:paraId="40A40AF5">
      <w:pPr>
        <w:pStyle w:val="10"/>
        <w:keepNext w:val="0"/>
        <w:keepLines w:val="0"/>
        <w:pageBreakBefore w:val="0"/>
        <w:shd w:val="clear" w:color="auto" w:fill="FFFFFF"/>
        <w:kinsoku/>
        <w:wordWrap/>
        <w:overflowPunct/>
        <w:topLinePunct w:val="0"/>
        <w:autoSpaceDE/>
        <w:autoSpaceDN/>
        <w:bidi w:val="0"/>
        <w:adjustRightInd/>
        <w:snapToGrid/>
        <w:spacing w:before="0" w:beforeAutospacing="0" w:after="96" w:afterAutospacing="0" w:line="360" w:lineRule="auto"/>
        <w:ind w:firstLine="24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7.采购结果公告前，对参与报价供应商家数、各供应商的报价等情况，均无法查看。采购结果公告后，所有参与报价的供应商均可通过用户名和密码登录后台查看参与报价的供应商名称、总报价。</w:t>
      </w:r>
    </w:p>
    <w:p w14:paraId="4DED78F6">
      <w:pPr>
        <w:pStyle w:val="10"/>
        <w:keepNext w:val="0"/>
        <w:keepLines w:val="0"/>
        <w:pageBreakBefore w:val="0"/>
        <w:shd w:val="clear" w:color="auto" w:fill="FFFFFF"/>
        <w:kinsoku/>
        <w:wordWrap/>
        <w:overflowPunct/>
        <w:topLinePunct w:val="0"/>
        <w:autoSpaceDE/>
        <w:autoSpaceDN/>
        <w:bidi w:val="0"/>
        <w:adjustRightInd/>
        <w:snapToGrid/>
        <w:spacing w:before="0" w:beforeAutospacing="0" w:after="96" w:afterAutospacing="0" w:line="360" w:lineRule="auto"/>
        <w:ind w:firstLine="24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8.缴纳竞价保证金(若有）：竞价供应商除个体工商户外竞价保证金应从其银行账户公对公转账。若竞价供应商为个体工商户的，其竞价保证金由经营者个人账户转入的视同认可。</w:t>
      </w:r>
    </w:p>
    <w:p w14:paraId="3E236958">
      <w:pPr>
        <w:pStyle w:val="10"/>
        <w:keepNext w:val="0"/>
        <w:keepLines w:val="0"/>
        <w:pageBreakBefore w:val="0"/>
        <w:shd w:val="clear" w:color="auto" w:fill="FFFFFF"/>
        <w:kinsoku/>
        <w:wordWrap/>
        <w:overflowPunct/>
        <w:topLinePunct w:val="0"/>
        <w:autoSpaceDE/>
        <w:autoSpaceDN/>
        <w:bidi w:val="0"/>
        <w:adjustRightInd/>
        <w:snapToGrid/>
        <w:spacing w:before="0" w:beforeAutospacing="0" w:after="96" w:afterAutospacing="0" w:line="360" w:lineRule="auto"/>
        <w:ind w:firstLine="240"/>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9.供应商在竞价大厅（即：投标单位商品信息）填报的内容：商品名称、产地、品牌、技术参数、型号、采购数量，如出现与供应商提交的PDF响应文件不一致的或漏填的，以PDF响应文件为准。</w:t>
      </w:r>
    </w:p>
    <w:p w14:paraId="4D411748">
      <w:pPr>
        <w:pStyle w:val="5"/>
        <w:keepNext w:val="0"/>
        <w:keepLines w:val="0"/>
        <w:pageBreakBefore w:val="0"/>
        <w:tabs>
          <w:tab w:val="left" w:pos="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6" w:name="_Toc15485"/>
      <w:bookmarkStart w:id="7" w:name="_Toc10645"/>
      <w:bookmarkStart w:id="8" w:name="_Toc32637"/>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五</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响应文件的澄清</w:t>
      </w:r>
      <w:bookmarkEnd w:id="6"/>
      <w:bookmarkEnd w:id="7"/>
      <w:bookmarkEnd w:id="8"/>
    </w:p>
    <w:p w14:paraId="452B0E71">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对响应文件中含义不明确、同类问题表述不一致或者有明显文字错误的内容，可以要求供应商做出必要的澄清、说明或者补正。澄清、说明或者补正应当采取书面形式，加盖供应商公章，并不得超出竞价采购文件的范围或者改变响应文件的实质性内容。</w:t>
      </w:r>
    </w:p>
    <w:p w14:paraId="22FF9B59">
      <w:pPr>
        <w:pStyle w:val="5"/>
        <w:keepNext w:val="0"/>
        <w:keepLines w:val="0"/>
        <w:pageBreakBefore w:val="0"/>
        <w:tabs>
          <w:tab w:val="left" w:pos="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9" w:name="_Toc26616"/>
      <w:bookmarkStart w:id="10" w:name="_Toc24083"/>
      <w:bookmarkStart w:id="11" w:name="_Toc12648"/>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六</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、成交原则</w:t>
      </w:r>
      <w:bookmarkEnd w:id="9"/>
      <w:bookmarkEnd w:id="10"/>
      <w:bookmarkEnd w:id="11"/>
    </w:p>
    <w:p w14:paraId="5BD4523F">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1.采购单位、采购代理机构应对供应商提交的响应文件进行审查。在实质性响应竞价采购文件的前提下，采用最低价成交原则确定成交候选供应商。</w:t>
      </w:r>
    </w:p>
    <w:p w14:paraId="404E320D">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2.实质性响应竞价采购文件的供应商至少三家，否则终止竞价。</w:t>
      </w:r>
    </w:p>
    <w:p w14:paraId="18C78E03">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经流标、废标</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重新组织竞价采购的项目，再次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竞价实质性响应竞价采购文件的供应商可以为</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两</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家</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30E829A0">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在实质性响应竞价采购文件的前提下，如出现两个或两个以上的相同最低报价时，则按报价时间优先的原则确定成交候选供应商（注：报价时间以服务器终端显示的时间为准）；报价时间相同时，以竞价出价时间早的优先进行排序，并确定最终竞价供应商。</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（如公告有另外规定的按公告要求为准）</w:t>
      </w:r>
    </w:p>
    <w:p w14:paraId="6AD399D7">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.所有供应商的报价高于最高控制价时，竞价无效。除采购任务取消外，采购人将择期或另择方式进行该项目货物和服务的采购。</w:t>
      </w:r>
    </w:p>
    <w:p w14:paraId="7D75800F">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12" w:name="_Toc12007"/>
      <w:bookmarkStart w:id="13" w:name="_Toc13937"/>
      <w:bookmarkStart w:id="14" w:name="_Toc26166"/>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.不具备实质性响应竞价采购文件是指：</w:t>
      </w:r>
    </w:p>
    <w:p w14:paraId="4BAA0FB9">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）实质性违背竞价采购文件，限制了采购人的权利和成交人合同项下的义务；</w:t>
      </w:r>
    </w:p>
    <w:p w14:paraId="44A00C2D">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）不公正地影响了其它作出实质性响应的供应商的竞争地位。包括但不限于以下情况：</w:t>
      </w:r>
    </w:p>
    <w:p w14:paraId="4E15936D">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1）供应商的响应文件不符合“</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技术和商务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要求”规定的；</w:t>
      </w:r>
    </w:p>
    <w:p w14:paraId="45FC8D35">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2）报价内容与竞价采购文件及要求有重大偏离的；</w:t>
      </w:r>
    </w:p>
    <w:p w14:paraId="2C1DAF91">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3）提交的是可选择的报价；</w:t>
      </w:r>
    </w:p>
    <w:p w14:paraId="6C6F8920">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4）报价内容有漏（缺）报项的；</w:t>
      </w:r>
    </w:p>
    <w:p w14:paraId="61A6F0DD">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5）报价文件中提供虚假或失实资料的；</w:t>
      </w:r>
    </w:p>
    <w:p w14:paraId="2C4ABE6D">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6）不符合竞价采购文件中规定的其它实质性条款。</w:t>
      </w:r>
    </w:p>
    <w:p w14:paraId="0CD4DB99">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7）要求分项报价的项目，供应商上传的分项报价表总价与系统最后一次上传的报价不一致的。</w:t>
      </w:r>
    </w:p>
    <w:p w14:paraId="73C3A011">
      <w:pPr>
        <w:keepNext w:val="0"/>
        <w:keepLines w:val="0"/>
        <w:pageBreakBefore w:val="0"/>
        <w:widowControl w:val="0"/>
        <w:kinsoku/>
        <w:wordWrap/>
        <w:overflowPunct/>
        <w:topLinePunct w:val="0"/>
        <w:autoSpaceDE w:val="0"/>
        <w:autoSpaceDN w:val="0"/>
        <w:bidi w:val="0"/>
        <w:adjustRightInd w:val="0"/>
        <w:spacing w:line="360" w:lineRule="auto"/>
        <w:ind w:firstLine="479"/>
        <w:textAlignment w:val="auto"/>
        <w:rPr>
          <w:rFonts w:hint="eastAsia" w:asciiTheme="minorEastAsia" w:hAnsiTheme="minorEastAsia" w:eastAsiaTheme="minorEastAsia" w:cstheme="minorEastAsia"/>
          <w:color w:val="000000" w:themeColor="text1"/>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bidi="ar-SA"/>
          <w14:textFill>
            <w14:solidFill>
              <w14:schemeClr w14:val="tx1"/>
            </w14:solidFill>
          </w14:textFill>
        </w:rPr>
        <w:t>8）总价金额与单价汇总金额不一致；</w:t>
      </w:r>
    </w:p>
    <w:p w14:paraId="15F465F5">
      <w:pPr>
        <w:keepNext w:val="0"/>
        <w:keepLines w:val="0"/>
        <w:pageBreakBefore w:val="0"/>
        <w:kinsoku/>
        <w:wordWrap/>
        <w:overflowPunct/>
        <w:topLinePunct w:val="0"/>
        <w:bidi w:val="0"/>
        <w:spacing w:line="360" w:lineRule="auto"/>
        <w:ind w:firstLine="240" w:firstLineChars="1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7.本项目推荐3家成交候选供应商</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（如公告有另外规定的按公告要求为准）。</w:t>
      </w:r>
    </w:p>
    <w:p w14:paraId="2D5A37D2">
      <w:pPr>
        <w:keepNext w:val="0"/>
        <w:keepLines w:val="0"/>
        <w:pageBreakBefore w:val="0"/>
        <w:kinsoku/>
        <w:wordWrap/>
        <w:overflowPunct/>
        <w:topLinePunct w:val="0"/>
        <w:bidi w:val="0"/>
        <w:spacing w:line="360" w:lineRule="auto"/>
        <w:ind w:firstLine="240" w:firstLineChars="1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p>
    <w:p w14:paraId="58C229F2">
      <w:pPr>
        <w:pStyle w:val="5"/>
        <w:keepNext w:val="0"/>
        <w:keepLines w:val="0"/>
        <w:pageBreakBefore w:val="0"/>
        <w:numPr>
          <w:ilvl w:val="0"/>
          <w:numId w:val="2"/>
        </w:numPr>
        <w:tabs>
          <w:tab w:val="left" w:pos="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最终审查</w:t>
      </w:r>
      <w:bookmarkEnd w:id="12"/>
      <w:bookmarkEnd w:id="13"/>
      <w:bookmarkEnd w:id="14"/>
    </w:p>
    <w:p w14:paraId="3D579AFA">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1.采购单位对成交候选供应商所报货物</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或服务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的价格、性能、履行合同的能力以及有必要了解的其它问题可作进一步的审查，审查不合格的，不能成为成交供应商</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(复杂性、特殊性项目可随机抽取专家进行评审）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。若采购单位在</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确认</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过程中，发现成交候选供应商提供所投产品与产品官网、以往响应文件参数不一致的，有权要求成交候选供应商提供相关证明材料（材料包括但不限于：制造商出具的证明材料、中华人民共和国医疗器械注册证及附件产品技术要求</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检测报告原件、证书原件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等），供应商无法出具的，采购人有权不予确认其为成交供应商。</w:t>
      </w:r>
    </w:p>
    <w:p w14:paraId="189D7A4F">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若审查小组发现竞价文件存在歧义、重大缺陷导致评审工作无法进行，或者竞价文件内容违反国家有关强制性规定的，应当停止评审工作，采购单位和采购代理机构沟通并作书面记录。经采购单位确认后，应当修改竞价文件，重新组织采购活动。</w:t>
      </w:r>
    </w:p>
    <w:p w14:paraId="781AE621">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.采购代理机构对采购结果进行网上公告，质疑期限内未提出异议的，则视为认同该采购结果。</w:t>
      </w:r>
    </w:p>
    <w:p w14:paraId="63C55626">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采购人、采购代理机构应当保证</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评审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在严格保密的情况下进行。审查小组有关人员对评审情况以及在评审过程中获悉的国家秘密、商业秘密负有保密责任。</w:t>
      </w:r>
    </w:p>
    <w:p w14:paraId="3FC7AB5C">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采购人有权根据质疑、投诉等情形，要求成交人提供投标文件中所有投标资料（包含</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检测报告、</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证书、证明文件等）的原件进行核对，并对真实性、符合性进行进一步审查。若经核对、审查，发现所提供的材料出现与原件不符或无法完整提供相关原件核对或材料弄虚作假等情形的，将被取消成交资格，并上报本项目的行政监管部门。</w:t>
      </w:r>
    </w:p>
    <w:p w14:paraId="1844AD94">
      <w:pPr>
        <w:keepNext w:val="0"/>
        <w:keepLines w:val="0"/>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6.竞价</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文件中载明的资格或技术商务要求中涉及的供应商提供的证明文件原件属于非中文描述的，必须提供具有翻译资质的机构翻译的中文译本。未按要求提供中文译本的，认定为该项资格或技术商务要求不符合。翻译机构应为中国翻译协会成员单位，翻译的中文译本应由翻译人员签名并加盖翻译机构公章，同时提供翻译人员翻译资格证书。供应商</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竞价时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应提供中文译本、翻译机构及翻译人员资格证书复印件，并加盖供应商公章。</w:t>
      </w:r>
    </w:p>
    <w:p w14:paraId="5B1C37CD">
      <w:pPr>
        <w:keepNext w:val="0"/>
        <w:keepLines w:val="0"/>
        <w:pageBreakBefore w:val="0"/>
        <w:numPr>
          <w:ilvl w:val="0"/>
          <w:numId w:val="0"/>
        </w:numPr>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5C0DFADD">
      <w:pPr>
        <w:pStyle w:val="5"/>
        <w:keepNext w:val="0"/>
        <w:keepLines w:val="0"/>
        <w:pageBreakBefore w:val="0"/>
        <w:tabs>
          <w:tab w:val="left" w:pos="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15" w:name="_Toc25883"/>
      <w:bookmarkStart w:id="16" w:name="_Toc12654"/>
      <w:bookmarkStart w:id="17" w:name="_Toc25899"/>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八</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成交通知及合同签定</w:t>
      </w:r>
      <w:bookmarkEnd w:id="15"/>
      <w:bookmarkEnd w:id="16"/>
      <w:bookmarkEnd w:id="17"/>
    </w:p>
    <w:p w14:paraId="70A74257">
      <w:pPr>
        <w:keepNext w:val="0"/>
        <w:keepLines w:val="0"/>
        <w:pageBreakBefore w:val="0"/>
        <w:kinsoku/>
        <w:wordWrap/>
        <w:overflowPunct/>
        <w:topLinePunct w:val="0"/>
        <w:bidi w:val="0"/>
        <w:spacing w:line="360" w:lineRule="auto"/>
        <w:ind w:firstLine="360" w:firstLineChars="15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 成交人签订合同后，其缴交的竞价保证金凭采购单位同意退还竞价保证金的书面通知原件后无息退回或提供合同复印件无息退回。</w:t>
      </w:r>
    </w:p>
    <w:p w14:paraId="2DBEE691">
      <w:pPr>
        <w:keepNext w:val="0"/>
        <w:keepLines w:val="0"/>
        <w:pageBreakBefore w:val="0"/>
        <w:kinsoku/>
        <w:wordWrap/>
        <w:overflowPunct/>
        <w:topLinePunct w:val="0"/>
        <w:bidi w:val="0"/>
        <w:spacing w:line="360" w:lineRule="auto"/>
        <w:ind w:firstLine="360" w:firstLineChars="15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 招标代理机构将在成交通知书发出之日起五个工作日内予以原额无息退还成交人以外的竞价保证金。</w:t>
      </w:r>
    </w:p>
    <w:p w14:paraId="3FD146F8">
      <w:pPr>
        <w:keepNext w:val="0"/>
        <w:keepLines w:val="0"/>
        <w:pageBreakBefore w:val="0"/>
        <w:kinsoku/>
        <w:wordWrap/>
        <w:overflowPunct/>
        <w:topLinePunct w:val="0"/>
        <w:bidi w:val="0"/>
        <w:spacing w:line="360" w:lineRule="auto"/>
        <w:ind w:firstLine="360" w:firstLineChars="15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3.采购代理机构在项目成交结果公告发布之日同时发出《成交通知书》。成交供应商应在规定的时间内与采购单位签订合同。并按采购文件和合同约定的时间完成项目的供货安装与调试投入正常使用或提供服务</w:t>
      </w:r>
      <w:bookmarkStart w:id="18" w:name="_Toc9194"/>
      <w:bookmarkStart w:id="19" w:name="_Toc22912"/>
      <w:bookmarkStart w:id="20" w:name="_Toc19203"/>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，成交人未在规定期限内或成交人拒绝与采购人签订合同的，采购人有权按照推荐的成交候选人名单排序，确定下一候选人为成交人，也有权重新开展竞价采购活动。</w:t>
      </w:r>
    </w:p>
    <w:p w14:paraId="7B288BCE">
      <w:pPr>
        <w:keepNext w:val="0"/>
        <w:keepLines w:val="0"/>
        <w:pageBreakBefore w:val="0"/>
        <w:kinsoku/>
        <w:wordWrap/>
        <w:overflowPunct/>
        <w:topLinePunct w:val="0"/>
        <w:bidi w:val="0"/>
        <w:spacing w:line="360" w:lineRule="auto"/>
        <w:ind w:firstLine="360" w:firstLineChars="15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4.合同履行过程中，采购人若需追加与合同标的相同的货物或服务，则追加采购金额不得超过原合同采购金额的10%。</w:t>
      </w:r>
    </w:p>
    <w:p w14:paraId="71046DFF">
      <w:pPr>
        <w:pStyle w:val="17"/>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6A281ECD">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t>九</w:t>
      </w: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项目验收</w:t>
      </w:r>
      <w:bookmarkEnd w:id="18"/>
      <w:bookmarkEnd w:id="19"/>
      <w:bookmarkEnd w:id="20"/>
    </w:p>
    <w:p w14:paraId="720C911E">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1.验收标准：根据竞价采购文件、成交供应商网上上传材料、澄清或补充或修改材料及有关国家、行业规定进行验收。</w:t>
      </w:r>
    </w:p>
    <w:p w14:paraId="3B9415C2">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.项目有特别要求的，按采购要求执行。</w:t>
      </w:r>
    </w:p>
    <w:p w14:paraId="4715D0AD">
      <w:pPr>
        <w:pStyle w:val="5"/>
        <w:keepNext w:val="0"/>
        <w:keepLines w:val="0"/>
        <w:pageBreakBefore w:val="0"/>
        <w:tabs>
          <w:tab w:val="left" w:pos="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21" w:name="_Toc6763"/>
      <w:bookmarkStart w:id="22" w:name="_Toc10947"/>
      <w:bookmarkStart w:id="23" w:name="_Toc17035"/>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十</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处罚办法</w:t>
      </w:r>
      <w:bookmarkEnd w:id="21"/>
      <w:bookmarkEnd w:id="22"/>
      <w:bookmarkEnd w:id="23"/>
    </w:p>
    <w:p w14:paraId="43A10492">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（一）发生以下情况竞价保证金将不予退还，情节严重的将报请采购监管部门同意，给予通报，取消其1～3年参与</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龙岩国资阳光交易平台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采购资格等。</w:t>
      </w:r>
    </w:p>
    <w:p w14:paraId="63D67E0A">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成交供应商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自动放弃成交资格的；</w:t>
      </w:r>
    </w:p>
    <w:p w14:paraId="36A8D7F9">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不按《成交通知书》要求与采购人签订合同的；</w:t>
      </w:r>
    </w:p>
    <w:p w14:paraId="526EC584">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3.未在竞价文件规定的时间内与采购人签订采购合同或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拒绝与采购人签订合同的</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7C831973">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竞价供应商提供虚假资料的；</w:t>
      </w:r>
    </w:p>
    <w:p w14:paraId="158484CC">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国家法律法规以及竞价文件中规定的其他竞价保证金不予退还的情形。</w:t>
      </w:r>
    </w:p>
    <w:p w14:paraId="7E173B94">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（二）其他要求</w:t>
      </w:r>
    </w:p>
    <w:p w14:paraId="591457E7">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1.成交供应商应严格按竞价文件要求及内容执行，否则保证金不予退回，同时《成交通知书》自动失效，并视情况对该竞价项目再次招标采购，采购人及招标代理公司将保留向该成交供应商提起赔偿诉讼的权利。</w:t>
      </w:r>
    </w:p>
    <w:p w14:paraId="32ED790B">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本次竞价的所有竞价均以人民币计算，不接受其他币别的应价。供应商一经应价，不得以任何借口反悔，否则以违约处理。</w:t>
      </w:r>
    </w:p>
    <w:p w14:paraId="5E07A775">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供应商应妥善保管好用户名及密码，用户名为供应商参加网络竞价的唯一合法身份，所有用户登录后的报价均视为供应商本人真实意愿的表示。并准确理解并同意无条件按竞价文件要求及内容执行。如用户名丢失或被他人盗用所造成的一切后果均由供应商负责。</w:t>
      </w:r>
    </w:p>
    <w:p w14:paraId="16923267">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供应商不得阻挠其他供应商应价，不得有操纵、垄断、恶意串通等违法行为，一经发现，将取消竞价资格，并依法追究其经济和法律责任。</w:t>
      </w:r>
    </w:p>
    <w:p w14:paraId="497144DA">
      <w:pPr>
        <w:pStyle w:val="5"/>
        <w:keepNext w:val="0"/>
        <w:keepLines w:val="0"/>
        <w:pageBreakBefore w:val="0"/>
        <w:tabs>
          <w:tab w:val="left" w:pos="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24" w:name="_Toc19276"/>
      <w:bookmarkStart w:id="25" w:name="_Toc17072"/>
      <w:bookmarkStart w:id="26" w:name="_Toc2259"/>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十</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一</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质疑</w:t>
      </w:r>
      <w:bookmarkEnd w:id="24"/>
      <w:bookmarkEnd w:id="25"/>
      <w:bookmarkEnd w:id="26"/>
    </w:p>
    <w:p w14:paraId="79A54BCB">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1.潜在竞价供应商或竞价供应商对本次采购活动的有关事项若有疑问，可向采购单位提出，采购单位将按有关规定进行答复，但答复的内容不涉及商业秘密。</w:t>
      </w:r>
    </w:p>
    <w:p w14:paraId="44B1657F">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 网上竞价供应商认为网上竞价通知书使自己的合法权益受到损害的，可以在竞价截止前1个工作日前（正常上班时间），以书面形式向采购单位提出质疑并要求作出答复。逾期则不予受理，视同接受本网上竞价通知书的所有内容。</w:t>
      </w:r>
    </w:p>
    <w:p w14:paraId="5A4E9344">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竞价供应商认为竞价过程和成交结果使自己的合法权益受到损害的，可以在采购结果公告之日（不包括当日）起7个工作日内，以书面形式向采购单位提出质疑并要求作出答复。逾期则不予受理，视同接受竞价过程和采购结果。</w:t>
      </w:r>
    </w:p>
    <w:p w14:paraId="48525C82">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4.采购单位将在收到书面质疑后的7个工作日（不包括当日）内作出答复，并以书面形式通知质疑竞价供应商和其他有关供应商，但答复的内容不涉及商业秘密。</w:t>
      </w:r>
    </w:p>
    <w:p w14:paraId="29077044">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5.质疑应在相关法律法规规定的时限内提出，并符合下列条件：</w:t>
      </w:r>
    </w:p>
    <w:p w14:paraId="123C4C32">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（1）对采购文件提出质疑的，质疑人应为潜在供应商，且两者的身份、名称等均应保持一致。对采购过程、结果提出质疑的，质疑人应为供应商，且两者的身份、名称等均应保持一致，并提供已在</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龙岩国资阳光交易平台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已对本项目进行报名的回执函（竞价供应商报名中-查看投标-打印回执码）。</w:t>
      </w:r>
    </w:p>
    <w:p w14:paraId="0C400649">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（2）质疑人应按挂号邮件或快递方式或送达方式递交向采购人提供原件。</w:t>
      </w:r>
    </w:p>
    <w:p w14:paraId="5D4095BC">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（3）质疑函应包括下列主要内容：</w:t>
      </w:r>
    </w:p>
    <w:p w14:paraId="17B8036F">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①质疑人的基本信息，至少包括：全称、地址、邮政编码等；</w:t>
      </w:r>
    </w:p>
    <w:p w14:paraId="1264ACCB">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②所质疑项目的基本信息，至少包括：项目编号、项目名称等；</w:t>
      </w:r>
    </w:p>
    <w:p w14:paraId="607E085C">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③所质疑的具体事项（以下简称：“质疑事项”）；</w:t>
      </w:r>
    </w:p>
    <w:p w14:paraId="2B0FAD11">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④针对质疑事项提出的明确请求，前述明确请求指质疑人提出质疑的目的、希望采购方对其质疑作出的处理结果，如：暂停竞价采购活动、修改采购文件、停止或纠正违法违规行为、成交结果无效、废标、重新开展采购活动等；</w:t>
      </w:r>
    </w:p>
    <w:p w14:paraId="57BC3E85">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⑤针对质疑事项导致质疑人自身权益受到损害的必要证明材料，至少包括：</w:t>
      </w:r>
    </w:p>
    <w:p w14:paraId="7EC78883">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a.质疑人代表的身份证明材料：质疑人为自然人的，提供本人的身份证复印件。质疑人为法人或其他组织的，提供统一社会信用代码营业执照的副本复印件、单位负责人的身份证复印件；质疑人代表为委托代理人的，还应同时提供单位负责人授权书和委托代理人的身份证复印件。</w:t>
      </w:r>
    </w:p>
    <w:p w14:paraId="737007EA">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b.其他证明材料，包括但不限于下列材料：</w:t>
      </w:r>
    </w:p>
    <w:p w14:paraId="2C583C6B">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b1所质疑的具体事项是与</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自己</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有利害关系的证明材料；</w:t>
      </w:r>
    </w:p>
    <w:p w14:paraId="44BBCE77">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b2质疑函所述事实存在的证明材料，如：采购文件、采购过程或成交结果违法违规或不符合采购文件要求等证明材料；</w:t>
      </w:r>
    </w:p>
    <w:p w14:paraId="23BA1C67">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b3依法应终止采购程序的证明材料；</w:t>
      </w:r>
    </w:p>
    <w:p w14:paraId="5BAF8C1D">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b4应重新采购的证明材料；</w:t>
      </w:r>
    </w:p>
    <w:p w14:paraId="0A31973C">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b5采购文件、采购过程或成交、成交结果损害</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自己</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合法权益的证明材料等；</w:t>
      </w:r>
    </w:p>
    <w:p w14:paraId="5B746F02">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1127474E">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⑥质疑人代表及其联系方式的信息，至少包括：姓名、手机、电子信箱、邮寄地址等。</w:t>
      </w:r>
    </w:p>
    <w:p w14:paraId="6CC2AE23">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6.对不符合本章第5条规定的质疑，采购方将按照下列规定进行处理：</w:t>
      </w:r>
    </w:p>
    <w:p w14:paraId="403EBE3E">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（1）未按照规定提交的，书面告知质疑人不予受理及其理由。</w:t>
      </w:r>
    </w:p>
    <w:p w14:paraId="76EFF9AE">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（2）内容不符合规定的，告知质疑人修改、补充后在规定时限内重新提交质疑函原件。</w:t>
      </w:r>
    </w:p>
    <w:p w14:paraId="7A919172">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7.对符合本章第5条规定的质疑，采购方将按有关规定进行答复。</w:t>
      </w:r>
    </w:p>
    <w:p w14:paraId="4C2E71FB">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8.质疑投诉人应保证质疑投诉的真实性和可靠性，并承担相应的法律责任。</w:t>
      </w:r>
    </w:p>
    <w:p w14:paraId="5F251B1C">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p>
    <w:p w14:paraId="4227267B">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b/>
          <w:bCs/>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14:textFill>
            <w14:solidFill>
              <w14:schemeClr w14:val="tx1"/>
            </w14:solidFill>
          </w14:textFill>
        </w:rPr>
        <w:t>十</w:t>
      </w:r>
      <w:r>
        <w:rPr>
          <w:rFonts w:hint="eastAsia" w:asciiTheme="minorEastAsia" w:hAnsiTheme="minorEastAsia" w:eastAsiaTheme="minorEastAsia" w:cstheme="minorEastAsia"/>
          <w:b/>
          <w:bCs/>
          <w:color w:val="000000" w:themeColor="text1"/>
          <w:kern w:val="2"/>
          <w:sz w:val="24"/>
          <w:szCs w:val="24"/>
          <w:highlight w:val="none"/>
          <w:lang w:eastAsia="zh-CN"/>
          <w14:textFill>
            <w14:solidFill>
              <w14:schemeClr w14:val="tx1"/>
            </w14:solidFill>
          </w14:textFill>
        </w:rPr>
        <w:t>二</w:t>
      </w:r>
      <w:r>
        <w:rPr>
          <w:rFonts w:hint="eastAsia" w:asciiTheme="minorEastAsia" w:hAnsiTheme="minorEastAsia" w:eastAsiaTheme="minorEastAsia" w:cstheme="minorEastAsia"/>
          <w:b/>
          <w:bCs/>
          <w:color w:val="000000" w:themeColor="text1"/>
          <w:kern w:val="2"/>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2"/>
          <w:sz w:val="24"/>
          <w:szCs w:val="24"/>
          <w:highlight w:val="none"/>
          <w14:textFill>
            <w14:solidFill>
              <w14:schemeClr w14:val="tx1"/>
            </w14:solidFill>
          </w14:textFill>
        </w:rPr>
        <w:t>其他事项</w:t>
      </w:r>
    </w:p>
    <w:p w14:paraId="4C5A4F60">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pPr>
    </w:p>
    <w:p w14:paraId="43FA5828">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（一）网上竞价采购信息发布、查询地址：</w:t>
      </w:r>
    </w:p>
    <w:p w14:paraId="62F4A68F">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pPr>
    </w:p>
    <w:p w14:paraId="2E3835A5">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shd w:val="clear" w:color="auto" w:fill="FFFFFF"/>
          <w:lang w:eastAsia="zh-CN"/>
          <w14:textFill>
            <w14:solidFill>
              <w14:schemeClr w14:val="tx1"/>
            </w14:solidFill>
          </w14:textFill>
        </w:rPr>
        <w:t>龙岩国资阳光交易平台</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shd w:val="clear" w:color="auto" w:fill="FFFFFF"/>
          <w14:textFill>
            <w14:solidFill>
              <w14:schemeClr w14:val="tx1"/>
            </w14:solidFill>
          </w14:textFill>
        </w:rPr>
        <w:t>http://lyygjyfw.etrading.cn/</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）首页“网上竞价公告”栏目。</w:t>
      </w:r>
    </w:p>
    <w:p w14:paraId="5DEC3EB2">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pPr>
    </w:p>
    <w:p w14:paraId="111EE4DE">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（二）采购代理机构联系方式，以项目公告为准。</w:t>
      </w:r>
    </w:p>
    <w:p w14:paraId="34E2118C">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pPr>
    </w:p>
    <w:p w14:paraId="51F1AD20">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采购代理机构地址：龙岩市万宝广场B座公共资源交易中心八楼</w:t>
      </w:r>
    </w:p>
    <w:p w14:paraId="568F69D4">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pPr>
    </w:p>
    <w:p w14:paraId="5E2D68E2">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本须知由龙岩市公物采购招标代理有限公司负责解释。</w:t>
      </w:r>
    </w:p>
    <w:p w14:paraId="28A40578">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jc w:val="right"/>
        <w:textAlignment w:val="auto"/>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pPr>
    </w:p>
    <w:p w14:paraId="410DFB59">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jc w:val="right"/>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p>
    <w:p w14:paraId="2864326F">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jc w:val="right"/>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p>
    <w:p w14:paraId="72B014C9">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jc w:val="right"/>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p>
    <w:p w14:paraId="67C38ECC">
      <w:pPr>
        <w:pStyle w:val="10"/>
        <w:keepNext w:val="0"/>
        <w:keepLines w:val="0"/>
        <w:pageBreakBefore w:val="0"/>
        <w:widowControl/>
        <w:shd w:val="clear" w:color="auto" w:fill="FFFFFF"/>
        <w:kinsoku/>
        <w:wordWrap/>
        <w:overflowPunct/>
        <w:topLinePunct w:val="0"/>
        <w:bidi w:val="0"/>
        <w:spacing w:beforeAutospacing="0" w:afterAutospacing="0" w:line="360" w:lineRule="auto"/>
        <w:ind w:left="300" w:right="300"/>
        <w:jc w:val="right"/>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龙岩市公物采购招标代理有限公司</w:t>
      </w:r>
    </w:p>
    <w:p w14:paraId="608347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27" w:name="_Toc428"/>
    </w:p>
    <w:p w14:paraId="7B38472E">
      <w:pPr>
        <w:pStyle w:val="6"/>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p>
    <w:p w14:paraId="7B266477">
      <w:pPr>
        <w:pStyle w:val="10"/>
        <w:keepNext w:val="0"/>
        <w:keepLines w:val="0"/>
        <w:pageBreakBefore w:val="0"/>
        <w:kinsoku/>
        <w:overflowPunct/>
        <w:topLinePunct w:val="0"/>
        <w:bidi w:val="0"/>
        <w:spacing w:line="360" w:lineRule="auto"/>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44"/>
          <w:sz w:val="24"/>
          <w:szCs w:val="24"/>
          <w:highlight w:val="none"/>
          <w:lang w:eastAsia="zh-CN"/>
          <w14:textFill>
            <w14:solidFill>
              <w14:schemeClr w14:val="tx1"/>
            </w14:solidFill>
          </w14:textFill>
        </w:rPr>
        <w:t>附件</w:t>
      </w:r>
      <w:r>
        <w:rPr>
          <w:rFonts w:hint="eastAsia" w:asciiTheme="minorEastAsia" w:hAnsiTheme="minorEastAsia" w:eastAsiaTheme="minorEastAsia" w:cstheme="minorEastAsia"/>
          <w:b/>
          <w:bCs/>
          <w:color w:val="000000" w:themeColor="text1"/>
          <w:kern w:val="44"/>
          <w:sz w:val="24"/>
          <w:szCs w:val="24"/>
          <w:highlight w:val="none"/>
          <w:lang w:val="en-US" w:eastAsia="zh-CN"/>
          <w14:textFill>
            <w14:solidFill>
              <w14:schemeClr w14:val="tx1"/>
            </w14:solidFill>
          </w14:textFill>
        </w:rPr>
        <w:t>2：</w:t>
      </w:r>
      <w:r>
        <w:rPr>
          <w:rStyle w:val="15"/>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单位负责人授权书</w:t>
      </w:r>
      <w:r>
        <w:rPr>
          <w:rStyle w:val="15"/>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格式</w:t>
      </w:r>
    </w:p>
    <w:p w14:paraId="652C064C">
      <w:pPr>
        <w:pStyle w:val="18"/>
        <w:keepNext w:val="0"/>
        <w:keepLines w:val="0"/>
        <w:pageBreakBefore w:val="0"/>
        <w:kinsoku/>
        <w:wordWrap/>
        <w:overflowPunct/>
        <w:topLinePunct w:val="0"/>
        <w:bidi w:val="0"/>
        <w:spacing w:line="360" w:lineRule="auto"/>
        <w:ind w:firstLine="0" w:firstLineChars="0"/>
        <w:jc w:val="both"/>
        <w:textAlignment w:val="auto"/>
        <w:rPr>
          <w:rFonts w:hint="eastAsia" w:asciiTheme="minorEastAsia" w:hAnsiTheme="minorEastAsia" w:eastAsiaTheme="minorEastAsia" w:cstheme="minorEastAsia"/>
          <w:b/>
          <w:bCs/>
          <w:color w:val="000000" w:themeColor="text1"/>
          <w:kern w:val="44"/>
          <w:sz w:val="24"/>
          <w:szCs w:val="24"/>
          <w:highlight w:val="none"/>
          <w:lang w:val="en-US" w:eastAsia="zh-CN"/>
          <w14:textFill>
            <w14:solidFill>
              <w14:schemeClr w14:val="tx1"/>
            </w14:solidFill>
          </w14:textFill>
        </w:rPr>
      </w:pPr>
    </w:p>
    <w:p w14:paraId="6AAE7599">
      <w:pPr>
        <w:pStyle w:val="10"/>
        <w:keepNext w:val="0"/>
        <w:keepLines w:val="0"/>
        <w:pageBreakBefore w:val="0"/>
        <w:kinsoku/>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Style w:val="15"/>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单位负责人授权书</w:t>
      </w:r>
    </w:p>
    <w:p w14:paraId="013DF4F7">
      <w:pPr>
        <w:pStyle w:val="10"/>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致：</w:t>
      </w:r>
    </w:p>
    <w:p w14:paraId="14943432">
      <w:pPr>
        <w:pStyle w:val="10"/>
        <w:keepNext w:val="0"/>
        <w:keepLines w:val="0"/>
        <w:pageBreakBefore w:val="0"/>
        <w:kinsoku/>
        <w:overflowPunct/>
        <w:topLinePunct w:val="0"/>
        <w:bidi w:val="0"/>
        <w:spacing w:line="360" w:lineRule="auto"/>
        <w:ind w:firstLine="42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我方的单位负责人</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（填写“单位负责人全名”）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授权</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（填写“投标人代表全名”）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为投标人代表，代表我方参加</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（填写“项目名称”）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项目（招标编号：）的投标，全权代表我方处理投标过程的一切事宜，包括但不限于：投标、澄清、签约等。投标人代表在投标过程中所签署的一切文件和处理与之有关的一切事务，我方均予以认可并对此承担责任。</w:t>
      </w:r>
    </w:p>
    <w:p w14:paraId="15AA27F5">
      <w:pPr>
        <w:pStyle w:val="10"/>
        <w:keepNext w:val="0"/>
        <w:keepLines w:val="0"/>
        <w:pageBreakBefore w:val="0"/>
        <w:kinsoku/>
        <w:overflowPunct/>
        <w:topLinePunct w:val="0"/>
        <w:bidi w:val="0"/>
        <w:spacing w:line="360" w:lineRule="auto"/>
        <w:ind w:firstLine="42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供应商代表无转委权。特此授权。</w:t>
      </w:r>
    </w:p>
    <w:p w14:paraId="400E0F19">
      <w:pPr>
        <w:pStyle w:val="19"/>
        <w:keepNext w:val="0"/>
        <w:keepLines w:val="0"/>
        <w:pageBreakBefore w:val="0"/>
        <w:kinsoku/>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单位负责人：</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身份证号：</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手机：</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w:t>
      </w:r>
    </w:p>
    <w:p w14:paraId="7461115B">
      <w:pPr>
        <w:pStyle w:val="19"/>
        <w:keepNext w:val="0"/>
        <w:keepLines w:val="0"/>
        <w:pageBreakBefore w:val="0"/>
        <w:kinsoku/>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投标人代表：</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身份证号：</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手机：</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w:t>
      </w:r>
    </w:p>
    <w:p w14:paraId="69F6F182">
      <w:pPr>
        <w:pStyle w:val="19"/>
        <w:keepNext w:val="0"/>
        <w:keepLines w:val="0"/>
        <w:pageBreakBefore w:val="0"/>
        <w:kinsoku/>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3667ADEF">
      <w:pPr>
        <w:pStyle w:val="19"/>
        <w:keepNext w:val="0"/>
        <w:keepLines w:val="0"/>
        <w:pageBreakBefore w:val="0"/>
        <w:kinsoku/>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授权方</w:t>
      </w:r>
    </w:p>
    <w:p w14:paraId="50BD5F5D">
      <w:pPr>
        <w:pStyle w:val="10"/>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（全称并加盖单位公章）</w:t>
      </w:r>
    </w:p>
    <w:p w14:paraId="5F820438">
      <w:pPr>
        <w:pStyle w:val="10"/>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签署日期：年月日</w:t>
      </w:r>
    </w:p>
    <w:p w14:paraId="529DD369">
      <w:pPr>
        <w:pStyle w:val="10"/>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001A7734">
      <w:pPr>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附：有效身份证复印件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（正反面）</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（详见注1）</w:t>
      </w:r>
    </w:p>
    <w:p w14:paraId="67734ED0">
      <w:pPr>
        <w:pStyle w:val="10"/>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要求：真实、有效、清晰</w:t>
      </w:r>
    </w:p>
    <w:p w14:paraId="312FF60F">
      <w:pPr>
        <w:pStyle w:val="10"/>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★注：</w:t>
      </w:r>
    </w:p>
    <w:p w14:paraId="2F6C6EEA">
      <w:pPr>
        <w:pStyle w:val="10"/>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代表非单位负责人时须提供《单位负责人授权书》，及单位负责人</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有效</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身份证</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正反面</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复印件和</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代表</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有效</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身份证</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正反面</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复印件；</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代表为单位负责人时，只须提供单位负责人</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有效</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身份证</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正反面</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复印件。</w:t>
      </w:r>
    </w:p>
    <w:p w14:paraId="03C0811A">
      <w:pPr>
        <w:keepNext w:val="0"/>
        <w:keepLines w:val="0"/>
        <w:pageBreakBefore w:val="0"/>
        <w:widowControl/>
        <w:kinsoku/>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企业（银行、保险、石油石化、电力、电信等行业除外）、事业单位和社会团体法人的“单位负责人”指法定代表人，即与实际提交的“营业执照等证明文件”载明的一致。</w:t>
      </w:r>
    </w:p>
    <w:p w14:paraId="72FB9B9D">
      <w:pPr>
        <w:keepNext w:val="0"/>
        <w:keepLines w:val="0"/>
        <w:pageBreakBefore w:val="0"/>
        <w:widowControl/>
        <w:kinsoku/>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52EE6522">
      <w:pPr>
        <w:pStyle w:val="10"/>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、对于接受联合体形式的投标且供应商是联合体的，则只需要联合体的牵头方提交本授权书。</w:t>
      </w:r>
    </w:p>
    <w:p w14:paraId="24233D84">
      <w:pPr>
        <w:pStyle w:val="18"/>
        <w:keepNext w:val="0"/>
        <w:keepLines w:val="0"/>
        <w:pageBreakBefore w:val="0"/>
        <w:kinsoku/>
        <w:wordWrap/>
        <w:overflowPunct/>
        <w:topLinePunct w:val="0"/>
        <w:bidi w:val="0"/>
        <w:spacing w:line="360" w:lineRule="auto"/>
        <w:ind w:firstLine="0" w:firstLineChars="0"/>
        <w:jc w:val="both"/>
        <w:textAlignment w:val="auto"/>
        <w:rPr>
          <w:rFonts w:hint="eastAsia" w:asciiTheme="minorEastAsia" w:hAnsiTheme="minorEastAsia" w:eastAsiaTheme="minorEastAsia" w:cstheme="minorEastAsia"/>
          <w:b/>
          <w:bCs/>
          <w:color w:val="000000" w:themeColor="text1"/>
          <w:kern w:val="44"/>
          <w:sz w:val="24"/>
          <w:szCs w:val="24"/>
          <w:highlight w:val="none"/>
          <w:lang w:eastAsia="zh-CN"/>
          <w14:textFill>
            <w14:solidFill>
              <w14:schemeClr w14:val="tx1"/>
            </w14:solidFill>
          </w14:textFill>
        </w:rPr>
      </w:pPr>
    </w:p>
    <w:p w14:paraId="11D32B8D">
      <w:pPr>
        <w:pStyle w:val="18"/>
        <w:keepNext w:val="0"/>
        <w:keepLines w:val="0"/>
        <w:pageBreakBefore w:val="0"/>
        <w:kinsoku/>
        <w:wordWrap/>
        <w:overflowPunct/>
        <w:topLinePunct w:val="0"/>
        <w:bidi w:val="0"/>
        <w:spacing w:line="360" w:lineRule="auto"/>
        <w:ind w:firstLine="0" w:firstLineChars="0"/>
        <w:jc w:val="both"/>
        <w:textAlignment w:val="auto"/>
        <w:rPr>
          <w:rFonts w:hint="eastAsia" w:asciiTheme="minorEastAsia" w:hAnsiTheme="minorEastAsia" w:eastAsiaTheme="minorEastAsia" w:cstheme="minorEastAsia"/>
          <w:b/>
          <w:bCs/>
          <w:color w:val="000000" w:themeColor="text1"/>
          <w:kern w:val="44"/>
          <w:sz w:val="24"/>
          <w:szCs w:val="24"/>
          <w:highlight w:val="none"/>
          <w:lang w:eastAsia="zh-CN"/>
          <w14:textFill>
            <w14:solidFill>
              <w14:schemeClr w14:val="tx1"/>
            </w14:solidFill>
          </w14:textFill>
        </w:rPr>
      </w:pPr>
    </w:p>
    <w:p w14:paraId="198F588C">
      <w:pPr>
        <w:pStyle w:val="18"/>
        <w:keepNext w:val="0"/>
        <w:keepLines w:val="0"/>
        <w:pageBreakBefore w:val="0"/>
        <w:kinsoku/>
        <w:wordWrap/>
        <w:overflowPunct/>
        <w:topLinePunct w:val="0"/>
        <w:bidi w:val="0"/>
        <w:spacing w:line="360" w:lineRule="auto"/>
        <w:ind w:firstLine="0" w:firstLineChars="0"/>
        <w:jc w:val="both"/>
        <w:textAlignment w:val="auto"/>
        <w:rPr>
          <w:rFonts w:hint="eastAsia" w:asciiTheme="minorEastAsia" w:hAnsiTheme="minorEastAsia" w:eastAsiaTheme="minorEastAsia" w:cstheme="minorEastAsia"/>
          <w:b/>
          <w:bCs/>
          <w:color w:val="000000" w:themeColor="text1"/>
          <w:kern w:val="44"/>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44"/>
          <w:sz w:val="24"/>
          <w:szCs w:val="24"/>
          <w:highlight w:val="none"/>
          <w:lang w:eastAsia="zh-CN"/>
          <w14:textFill>
            <w14:solidFill>
              <w14:schemeClr w14:val="tx1"/>
            </w14:solidFill>
          </w14:textFill>
        </w:rPr>
        <w:t>附件</w:t>
      </w:r>
      <w:r>
        <w:rPr>
          <w:rFonts w:hint="eastAsia" w:asciiTheme="minorEastAsia" w:hAnsiTheme="minorEastAsia" w:eastAsiaTheme="minorEastAsia" w:cstheme="minorEastAsia"/>
          <w:b/>
          <w:bCs/>
          <w:color w:val="000000" w:themeColor="text1"/>
          <w:kern w:val="44"/>
          <w:sz w:val="24"/>
          <w:szCs w:val="24"/>
          <w:highlight w:val="none"/>
          <w:lang w:val="en-US" w:eastAsia="zh-CN"/>
          <w14:textFill>
            <w14:solidFill>
              <w14:schemeClr w14:val="tx1"/>
            </w14:solidFill>
          </w14:textFill>
        </w:rPr>
        <w:t>3：</w:t>
      </w:r>
    </w:p>
    <w:p w14:paraId="03E7AC35">
      <w:pPr>
        <w:pStyle w:val="18"/>
        <w:keepNext w:val="0"/>
        <w:keepLines w:val="0"/>
        <w:pageBreakBefore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44"/>
          <w:sz w:val="24"/>
          <w:szCs w:val="24"/>
          <w:highlight w:val="none"/>
          <w14:textFill>
            <w14:solidFill>
              <w14:schemeClr w14:val="tx1"/>
            </w14:solidFill>
          </w14:textFill>
        </w:rPr>
        <w:t>采购合同</w:t>
      </w:r>
      <w:bookmarkEnd w:id="27"/>
    </w:p>
    <w:p w14:paraId="6CF6131D">
      <w:pPr>
        <w:keepNext w:val="0"/>
        <w:keepLines w:val="0"/>
        <w:pageBreakBefore w:val="0"/>
        <w:widowControl/>
        <w:kinsoku/>
        <w:wordWrap/>
        <w:overflowPunct/>
        <w:topLinePunct w:val="0"/>
        <w:bidi w:val="0"/>
        <w:spacing w:before="75" w:after="75" w:line="360" w:lineRule="auto"/>
        <w:jc w:val="center"/>
        <w:textAlignment w:val="auto"/>
        <w:rPr>
          <w:rFonts w:hint="eastAsia" w:asciiTheme="minorEastAsia" w:hAnsiTheme="minorEastAsia" w:eastAsiaTheme="minorEastAsia" w:cstheme="minorEastAsia"/>
          <w:b/>
          <w:bCs/>
          <w:color w:val="000000" w:themeColor="text1"/>
          <w:kern w:val="44"/>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44"/>
          <w:sz w:val="24"/>
          <w:szCs w:val="24"/>
          <w:highlight w:val="none"/>
          <w14:textFill>
            <w14:solidFill>
              <w14:schemeClr w14:val="tx1"/>
            </w14:solidFill>
          </w14:textFill>
        </w:rPr>
        <w:t>参考范本</w:t>
      </w:r>
    </w:p>
    <w:p w14:paraId="3052BC6A">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签订合同应遵守民法典。</w:t>
      </w:r>
    </w:p>
    <w:p w14:paraId="62D942D0">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签订合同时，采购人与成交人应结合竞价文件规定填列相应内容。竞价文件已有规定的，双方均不得变更或调整；竞价文件未作规定的，双方可通过友好协商进行约定。</w:t>
      </w:r>
    </w:p>
    <w:p w14:paraId="451776EC">
      <w:pPr>
        <w:pStyle w:val="17"/>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本合同范本仅供参考，采购人应当根据采购项目的实际需求对合同条款进行修改、补充。</w:t>
      </w:r>
    </w:p>
    <w:p w14:paraId="3636F72F">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 xml:space="preserve">（采购人全称）                  </w:t>
      </w:r>
    </w:p>
    <w:p w14:paraId="12DDB0CB">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 xml:space="preserve">（成交人全称）                  </w:t>
      </w:r>
    </w:p>
    <w:p w14:paraId="5AAD6405">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p>
    <w:p w14:paraId="4F6B8CE9">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根据招标编号为的</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（填写“项目名称”）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项目（以下简称：“本项目”）的招标结果，乙方为成交人。现经甲乙双方友好协商，就以下事项达成一致并签订本合同：</w:t>
      </w:r>
    </w:p>
    <w:p w14:paraId="207BBC33">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下列合同文件是构成本合同不可分割的部分：</w:t>
      </w:r>
    </w:p>
    <w:p w14:paraId="783C0132">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1.1合同条款；</w:t>
      </w:r>
    </w:p>
    <w:p w14:paraId="157D1512">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1.2竞价文件、乙方的响应文件；</w:t>
      </w:r>
    </w:p>
    <w:p w14:paraId="3BC70778">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1.3其他文件或材料：□无。□</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（按照实际情况编制填写需要增加的内容）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69E8F68A">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合同标的</w:t>
      </w:r>
    </w:p>
    <w:p w14:paraId="2742F82D">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（按照实际情况编制填写，可以是表格或文字描述）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FD32613">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合同总金额</w:t>
      </w:r>
    </w:p>
    <w:p w14:paraId="62603F3B">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3.1合同总金额为人民币大写：（￥）。</w:t>
      </w:r>
    </w:p>
    <w:p w14:paraId="63E9EE5A">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合同标的交付时间、地点和条件</w:t>
      </w:r>
    </w:p>
    <w:p w14:paraId="5EF47572">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4.1交付时间：</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 xml:space="preserve"> 。</w:t>
      </w:r>
    </w:p>
    <w:p w14:paraId="40B42970">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4.2交付地点：</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w:t>
      </w:r>
    </w:p>
    <w:p w14:paraId="48331CA8">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4.3交付条件：。</w:t>
      </w:r>
    </w:p>
    <w:p w14:paraId="1E189315">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5</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合同标的应符合竞价文件、乙方响应文件的规定或约定，具体如下：</w:t>
      </w:r>
    </w:p>
    <w:p w14:paraId="1D2E4E89">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（按照实际情况编制填写，可以是表格或文字描述）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4C12102C">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6</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验收</w:t>
      </w:r>
    </w:p>
    <w:p w14:paraId="0C05BDF2">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6.1验收应按照竞价文件、乙方响应文件的规定或约定进行，具体如下：</w:t>
      </w:r>
    </w:p>
    <w:p w14:paraId="76EA5B76">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（按照实际情况编制填写，可以是表格或文字描述）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0929C41F">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合同款项的支付应按照竞价文件的规定进行，具体如下：</w:t>
      </w:r>
    </w:p>
    <w:p w14:paraId="24D8DCC7">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（按照实际情况编制填写，可以是表格或文字描述，包括一次性支付或分期支付等）</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3DA6F598">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8</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履约保证金</w:t>
      </w:r>
    </w:p>
    <w:p w14:paraId="7EF9B18D">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□无。□有，具体如下：</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（按照竞价文件规定填写）</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0040DA9B">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9、合同有效期</w:t>
      </w:r>
    </w:p>
    <w:p w14:paraId="331608FE">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（按照实际情况编制填写，可以是表格或文字描述）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02115546">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违约责任</w:t>
      </w:r>
    </w:p>
    <w:p w14:paraId="3692B4D4">
      <w:pPr>
        <w:pStyle w:val="1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（1）乙方逾期履行服务的，乙方应按逾期交付总额每日_______向甲方支付违约金，由甲方从待付货款中扣除。乙方无正当理由逾期超过约定日期_______仍不能交付的，视为“乙方不按合同约定履约”；</w:t>
      </w:r>
    </w:p>
    <w:p w14:paraId="55AFD28B">
      <w:pPr>
        <w:pStyle w:val="1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（2）乙方所交付的产品不符合合同规定及《</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竞价</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文件》规定标准的，甲方有权拒收，乙方愿意更换产品但逾期交货的，按乙方逾期交货处理。乙方拒绝更换产品的，视为“乙方不按合同约定履约”；</w:t>
      </w:r>
    </w:p>
    <w:p w14:paraId="510D88A8">
      <w:pPr>
        <w:pStyle w:val="1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（3）乙方不按合同约定履约的，甲方可以解除采购合同，同时乙方还须按向甲方支付违约金：</w:t>
      </w:r>
    </w:p>
    <w:p w14:paraId="72B46FD4">
      <w:pPr>
        <w:pStyle w:val="19"/>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（4）其他违约情形</w:t>
      </w:r>
    </w:p>
    <w:p w14:paraId="0C53F354">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11、知识产权</w:t>
      </w:r>
    </w:p>
    <w:p w14:paraId="5581913B">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1F5D0CCA">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11.2若乙方提供的采购标的不符合国家知识产权法律、法规的规定或被有关主管机关认定为假冒伪劣品，则乙方成交资格将被取消；甲方还将按照有关法律、法规和规章的规定进行处理，具体如下：</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6A12F2A4">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12、解决争议的方法</w:t>
      </w:r>
    </w:p>
    <w:p w14:paraId="7CFBF3EA">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12.1甲、乙双方协商解决。</w:t>
      </w:r>
    </w:p>
    <w:p w14:paraId="60E0EC2D">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12.2若协商解决不成，则通过下列途径之一解决：</w:t>
      </w:r>
    </w:p>
    <w:p w14:paraId="773E10AB">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□提交仲裁委员会仲裁，具体如下：</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12BC48C">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□向人民法院提起诉讼，具体如下：</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7676905E">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不可抗力</w:t>
      </w:r>
    </w:p>
    <w:p w14:paraId="3DC9A23A">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7BC4B473">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13.2本合同中的不可抗力指不能预见、不能避免、不能克服的客观情况，包括但不限于：自然灾害如地震、台风、洪水、火灾及政府行为、法律规定或其适用的变化或其他任何无法预见、避免或控制的事件。</w:t>
      </w:r>
    </w:p>
    <w:p w14:paraId="6FA651E8">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14、合同条款</w:t>
      </w:r>
    </w:p>
    <w:p w14:paraId="7AB1DE47">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（按照实际情况编制填写。竞价文件已有规定的，双方均不得变更或调整；竞价文件未作规定的，双方可通过友好协商进行约定）</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FE6DFF1">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其他约定</w:t>
      </w:r>
    </w:p>
    <w:p w14:paraId="25497B24">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15.1合同文件与本合同具有同等法律效力。</w:t>
      </w:r>
    </w:p>
    <w:p w14:paraId="740AC376">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15.2本合同未尽事宜，双方可另行补充。</w:t>
      </w:r>
    </w:p>
    <w:p w14:paraId="4BC97786">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15.3合同生效：自签订之日起生效。</w:t>
      </w:r>
    </w:p>
    <w:p w14:paraId="27732AC1">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15.4本合同一式</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（填写具体份数）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份，经双方授权代表签字并盖章后生效。甲方、乙方各执</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（填写具体份数）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份，送</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（龙岩市公物采购招标代理有限公司）</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备案</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份，具有同等效力。</w:t>
      </w:r>
    </w:p>
    <w:p w14:paraId="1AB54DAD">
      <w:pPr>
        <w:keepNext w:val="0"/>
        <w:keepLines w:val="0"/>
        <w:pageBreakBefore w:val="0"/>
        <w:widowControl/>
        <w:kinsoku/>
        <w:wordWrap/>
        <w:overflowPunct/>
        <w:topLinePunct w:val="0"/>
        <w:bidi w:val="0"/>
        <w:spacing w:before="75" w:after="75" w:line="360" w:lineRule="auto"/>
        <w:ind w:firstLine="48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15.5其他：□无。□</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（按照实际情况编制填写需要增加的内容）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43668EA6">
      <w:pPr>
        <w:keepNext w:val="0"/>
        <w:keepLines w:val="0"/>
        <w:pageBreakBefore w:val="0"/>
        <w:widowControl/>
        <w:kinsoku/>
        <w:wordWrap/>
        <w:overflowPunct/>
        <w:topLinePunct w:val="0"/>
        <w:bidi w:val="0"/>
        <w:spacing w:before="75" w:after="75"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（以下无正文）</w:t>
      </w:r>
    </w:p>
    <w:p w14:paraId="795AC581">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甲方：乙方：</w:t>
      </w:r>
    </w:p>
    <w:p w14:paraId="2FF76D8F">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住所：住所：</w:t>
      </w:r>
    </w:p>
    <w:p w14:paraId="4BD5211B">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单位负责人：单位负责人：</w:t>
      </w:r>
    </w:p>
    <w:p w14:paraId="5A239903">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p>
    <w:p w14:paraId="4DBBC127">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委托代理人：委托代理人：</w:t>
      </w:r>
    </w:p>
    <w:p w14:paraId="516DF547">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p>
    <w:p w14:paraId="6ADFFE69">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联系方法： 联系方法：</w:t>
      </w:r>
    </w:p>
    <w:p w14:paraId="526638DD">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开户银行：   开户银行：</w:t>
      </w:r>
    </w:p>
    <w:p w14:paraId="77EAB4B2">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账号：      账号：</w:t>
      </w:r>
    </w:p>
    <w:p w14:paraId="6AC162A2">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064794E5">
      <w:pPr>
        <w:keepNext w:val="0"/>
        <w:keepLines w:val="0"/>
        <w:pageBreakBefore w:val="0"/>
        <w:widowControl/>
        <w:kinsoku/>
        <w:wordWrap/>
        <w:overflowPunct/>
        <w:topLinePunct w:val="0"/>
        <w:bidi w:val="0"/>
        <w:spacing w:before="75" w:after="75" w:line="360" w:lineRule="auto"/>
        <w:jc w:val="left"/>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签订地点：</w:t>
      </w:r>
    </w:p>
    <w:p w14:paraId="58F3AE4F">
      <w:pPr>
        <w:keepNext w:val="0"/>
        <w:keepLines w:val="0"/>
        <w:pageBreakBefore w:val="0"/>
        <w:tabs>
          <w:tab w:val="left" w:pos="540"/>
          <w:tab w:val="left" w:pos="720"/>
          <w:tab w:val="left" w:pos="900"/>
          <w:tab w:val="left" w:pos="1080"/>
        </w:tabs>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签订日期：年月日</w:t>
      </w:r>
    </w:p>
    <w:p w14:paraId="2BE83D0F">
      <w:pPr>
        <w:keepNext w:val="0"/>
        <w:keepLines w:val="0"/>
        <w:pageBreakBefore w:val="0"/>
        <w:kinsoku/>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4C5F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384F4">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4384F4">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98428">
    <w:pPr>
      <w:pStyle w:val="8"/>
      <w:shd w:val="pct5" w:color="auto" w:fill="auto"/>
      <w:jc w:val="both"/>
      <w:rPr>
        <w:rFonts w:hint="eastAsia"/>
      </w:rPr>
    </w:pPr>
    <w:r>
      <w:rPr>
        <w:rFonts w:hint="eastAsia" w:eastAsia="仿宋_GB2312"/>
      </w:rPr>
      <w:t>采购</w:t>
    </w:r>
    <w:r>
      <w:rPr>
        <w:rFonts w:hint="eastAsia" w:eastAsia="仿宋_GB2312"/>
        <w:lang w:eastAsia="zh-CN"/>
      </w:rPr>
      <w:t>采购文件</w:t>
    </w:r>
    <w:r>
      <w:rPr>
        <w:rFonts w:hint="eastAsia" w:eastAsia="仿宋_GB2312"/>
      </w:rPr>
      <w:t xml:space="preserve">       </w:t>
    </w:r>
    <w:r>
      <w:rPr>
        <w:rFonts w:hint="eastAsia" w:ascii="仿宋_GB2312" w:eastAsia="仿宋_GB2312"/>
      </w:rPr>
      <w:t xml:space="preserve">                                     </w:t>
    </w:r>
    <w:r>
      <w:rPr>
        <w:rFonts w:hint="eastAsia" w:ascii="仿宋_GB2312" w:eastAsia="仿宋_GB2312"/>
        <w:color w:val="FF0000"/>
      </w:rPr>
      <w:t xml:space="preserve">     </w:t>
    </w:r>
    <w:r>
      <w:rPr>
        <w:rFonts w:hint="eastAsia" w:ascii="仿宋_GB2312" w:eastAsia="仿宋_GB23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2F0A8D"/>
    <w:multiLevelType w:val="singleLevel"/>
    <w:tmpl w:val="FB2F0A8D"/>
    <w:lvl w:ilvl="0" w:tentative="0">
      <w:start w:val="3"/>
      <w:numFmt w:val="chineseCounting"/>
      <w:suff w:val="nothing"/>
      <w:lvlText w:val="%1、"/>
      <w:lvlJc w:val="left"/>
      <w:rPr>
        <w:rFonts w:hint="eastAsia"/>
      </w:rPr>
    </w:lvl>
  </w:abstractNum>
  <w:abstractNum w:abstractNumId="1">
    <w:nsid w:val="FC0B4912"/>
    <w:multiLevelType w:val="singleLevel"/>
    <w:tmpl w:val="FC0B4912"/>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YjdmMTQ3NjQ5ZTVhZWE3NDY4MTgzMzk0ZWQxNzkifQ=="/>
  </w:docVars>
  <w:rsids>
    <w:rsidRoot w:val="775A25DC"/>
    <w:rsid w:val="00024DD8"/>
    <w:rsid w:val="002C3136"/>
    <w:rsid w:val="005865D6"/>
    <w:rsid w:val="00FF7658"/>
    <w:rsid w:val="015772A4"/>
    <w:rsid w:val="0187024E"/>
    <w:rsid w:val="01B446F6"/>
    <w:rsid w:val="01C357BD"/>
    <w:rsid w:val="01FD6BE0"/>
    <w:rsid w:val="02E82D59"/>
    <w:rsid w:val="02FF1D2D"/>
    <w:rsid w:val="035148F2"/>
    <w:rsid w:val="03EF5EB9"/>
    <w:rsid w:val="04477AA3"/>
    <w:rsid w:val="056356C9"/>
    <w:rsid w:val="059239C0"/>
    <w:rsid w:val="061F1544"/>
    <w:rsid w:val="066C3DC6"/>
    <w:rsid w:val="06734B80"/>
    <w:rsid w:val="077C69D1"/>
    <w:rsid w:val="07AF1BE8"/>
    <w:rsid w:val="07B77E12"/>
    <w:rsid w:val="07EB0E6D"/>
    <w:rsid w:val="08C07E24"/>
    <w:rsid w:val="08CB57A5"/>
    <w:rsid w:val="08D062B9"/>
    <w:rsid w:val="08EF4633"/>
    <w:rsid w:val="08FF019C"/>
    <w:rsid w:val="09CF00B8"/>
    <w:rsid w:val="0A1E12A6"/>
    <w:rsid w:val="0A7809B7"/>
    <w:rsid w:val="0BB93399"/>
    <w:rsid w:val="0BDC31C7"/>
    <w:rsid w:val="0C2142C1"/>
    <w:rsid w:val="0C915136"/>
    <w:rsid w:val="0CA57A5D"/>
    <w:rsid w:val="0CBC64CA"/>
    <w:rsid w:val="0CCD573D"/>
    <w:rsid w:val="0D715D08"/>
    <w:rsid w:val="0D741064"/>
    <w:rsid w:val="0D952CD1"/>
    <w:rsid w:val="0E0C44B7"/>
    <w:rsid w:val="0E456E02"/>
    <w:rsid w:val="0E4E4068"/>
    <w:rsid w:val="0ECC307F"/>
    <w:rsid w:val="0F6C3492"/>
    <w:rsid w:val="10437371"/>
    <w:rsid w:val="10D2402E"/>
    <w:rsid w:val="126F4854"/>
    <w:rsid w:val="12844D75"/>
    <w:rsid w:val="12B94205"/>
    <w:rsid w:val="12C17600"/>
    <w:rsid w:val="14374A8C"/>
    <w:rsid w:val="145A737F"/>
    <w:rsid w:val="147246C9"/>
    <w:rsid w:val="152F4368"/>
    <w:rsid w:val="15484822"/>
    <w:rsid w:val="168266E5"/>
    <w:rsid w:val="17E31439"/>
    <w:rsid w:val="18E11E1D"/>
    <w:rsid w:val="19F85670"/>
    <w:rsid w:val="1B705B8A"/>
    <w:rsid w:val="1B8F790E"/>
    <w:rsid w:val="1BC716A2"/>
    <w:rsid w:val="1BD17F21"/>
    <w:rsid w:val="1C99656B"/>
    <w:rsid w:val="1CD3637E"/>
    <w:rsid w:val="1D596426"/>
    <w:rsid w:val="1DF60118"/>
    <w:rsid w:val="1E6320FE"/>
    <w:rsid w:val="1EDC07EA"/>
    <w:rsid w:val="1EEE31E2"/>
    <w:rsid w:val="1F42702F"/>
    <w:rsid w:val="1F7D0EBD"/>
    <w:rsid w:val="1FBE6A14"/>
    <w:rsid w:val="1FE9296B"/>
    <w:rsid w:val="20964D05"/>
    <w:rsid w:val="20F6042F"/>
    <w:rsid w:val="2110329F"/>
    <w:rsid w:val="219226BE"/>
    <w:rsid w:val="21FE57EE"/>
    <w:rsid w:val="22416DAF"/>
    <w:rsid w:val="22565FE6"/>
    <w:rsid w:val="227E633A"/>
    <w:rsid w:val="22D215C0"/>
    <w:rsid w:val="23533917"/>
    <w:rsid w:val="235D4796"/>
    <w:rsid w:val="237A1A79"/>
    <w:rsid w:val="23F46EA8"/>
    <w:rsid w:val="24741584"/>
    <w:rsid w:val="247973AD"/>
    <w:rsid w:val="24855D52"/>
    <w:rsid w:val="252C19FC"/>
    <w:rsid w:val="25D16D75"/>
    <w:rsid w:val="269766DE"/>
    <w:rsid w:val="26AD1590"/>
    <w:rsid w:val="27A063F6"/>
    <w:rsid w:val="28611804"/>
    <w:rsid w:val="28814169"/>
    <w:rsid w:val="28853610"/>
    <w:rsid w:val="28A65368"/>
    <w:rsid w:val="28A858A2"/>
    <w:rsid w:val="29D47298"/>
    <w:rsid w:val="2B7A1F7C"/>
    <w:rsid w:val="2BA80578"/>
    <w:rsid w:val="2C3B319A"/>
    <w:rsid w:val="2D9804DA"/>
    <w:rsid w:val="2E334DB8"/>
    <w:rsid w:val="2E7F7CB6"/>
    <w:rsid w:val="2EAD65D1"/>
    <w:rsid w:val="2EE10029"/>
    <w:rsid w:val="2EE731EB"/>
    <w:rsid w:val="2F1A0783"/>
    <w:rsid w:val="308A2F02"/>
    <w:rsid w:val="30BA207D"/>
    <w:rsid w:val="30DB7609"/>
    <w:rsid w:val="317A6513"/>
    <w:rsid w:val="317C58F2"/>
    <w:rsid w:val="3283424C"/>
    <w:rsid w:val="328E671A"/>
    <w:rsid w:val="32A277CA"/>
    <w:rsid w:val="33D77C4D"/>
    <w:rsid w:val="341D6F42"/>
    <w:rsid w:val="344D05F8"/>
    <w:rsid w:val="347F355C"/>
    <w:rsid w:val="34936269"/>
    <w:rsid w:val="349D7358"/>
    <w:rsid w:val="34D97170"/>
    <w:rsid w:val="35064C8D"/>
    <w:rsid w:val="35AA020F"/>
    <w:rsid w:val="367B5207"/>
    <w:rsid w:val="36910587"/>
    <w:rsid w:val="36AC2EBA"/>
    <w:rsid w:val="36DB0D84"/>
    <w:rsid w:val="36E67382"/>
    <w:rsid w:val="38E354CB"/>
    <w:rsid w:val="39157171"/>
    <w:rsid w:val="397720FE"/>
    <w:rsid w:val="39E41315"/>
    <w:rsid w:val="3A4D6EBA"/>
    <w:rsid w:val="3B7D0667"/>
    <w:rsid w:val="3B7F1319"/>
    <w:rsid w:val="3C3D6D89"/>
    <w:rsid w:val="3FD21F63"/>
    <w:rsid w:val="3FED027B"/>
    <w:rsid w:val="401A05CD"/>
    <w:rsid w:val="40310340"/>
    <w:rsid w:val="41636FC4"/>
    <w:rsid w:val="42A925FC"/>
    <w:rsid w:val="42B94527"/>
    <w:rsid w:val="436B1094"/>
    <w:rsid w:val="43CC3FD9"/>
    <w:rsid w:val="43E7452D"/>
    <w:rsid w:val="44676DCB"/>
    <w:rsid w:val="449A0F4E"/>
    <w:rsid w:val="45D327B3"/>
    <w:rsid w:val="46F53B97"/>
    <w:rsid w:val="476574EA"/>
    <w:rsid w:val="47E75A80"/>
    <w:rsid w:val="47EF335F"/>
    <w:rsid w:val="484D62D8"/>
    <w:rsid w:val="4973240B"/>
    <w:rsid w:val="49C90224"/>
    <w:rsid w:val="4A273284"/>
    <w:rsid w:val="4A873D23"/>
    <w:rsid w:val="4AA20B5D"/>
    <w:rsid w:val="4AA735E3"/>
    <w:rsid w:val="4AB679AD"/>
    <w:rsid w:val="4BAD1DDE"/>
    <w:rsid w:val="4CA46435"/>
    <w:rsid w:val="4CF60CEC"/>
    <w:rsid w:val="4D363444"/>
    <w:rsid w:val="4D3E075D"/>
    <w:rsid w:val="4E1F24C4"/>
    <w:rsid w:val="4E6841F4"/>
    <w:rsid w:val="4F416B96"/>
    <w:rsid w:val="4F4B5F47"/>
    <w:rsid w:val="50035904"/>
    <w:rsid w:val="513403C7"/>
    <w:rsid w:val="515F5058"/>
    <w:rsid w:val="52163F05"/>
    <w:rsid w:val="521D29D9"/>
    <w:rsid w:val="53125328"/>
    <w:rsid w:val="537C740A"/>
    <w:rsid w:val="53995616"/>
    <w:rsid w:val="53AC2751"/>
    <w:rsid w:val="53F229C4"/>
    <w:rsid w:val="54CE4736"/>
    <w:rsid w:val="552C5BF2"/>
    <w:rsid w:val="554D2DBA"/>
    <w:rsid w:val="55B5156D"/>
    <w:rsid w:val="564725B8"/>
    <w:rsid w:val="57400518"/>
    <w:rsid w:val="57970BBD"/>
    <w:rsid w:val="57F33A8D"/>
    <w:rsid w:val="58E30CBE"/>
    <w:rsid w:val="59B55A35"/>
    <w:rsid w:val="59ED3476"/>
    <w:rsid w:val="5AA0152D"/>
    <w:rsid w:val="5AA91045"/>
    <w:rsid w:val="5AEE0863"/>
    <w:rsid w:val="5AFA4242"/>
    <w:rsid w:val="5B070568"/>
    <w:rsid w:val="5BC603E2"/>
    <w:rsid w:val="5C090A3C"/>
    <w:rsid w:val="5C0C4696"/>
    <w:rsid w:val="5C547EBD"/>
    <w:rsid w:val="5C6F4617"/>
    <w:rsid w:val="5CB0535B"/>
    <w:rsid w:val="5CE46DB3"/>
    <w:rsid w:val="5E167DBC"/>
    <w:rsid w:val="5E251431"/>
    <w:rsid w:val="5E293F0E"/>
    <w:rsid w:val="5E541D16"/>
    <w:rsid w:val="5E581BDD"/>
    <w:rsid w:val="5FE57BEB"/>
    <w:rsid w:val="60402552"/>
    <w:rsid w:val="6047382D"/>
    <w:rsid w:val="61CD1F9D"/>
    <w:rsid w:val="61E327CB"/>
    <w:rsid w:val="621F5021"/>
    <w:rsid w:val="628712BE"/>
    <w:rsid w:val="629642BB"/>
    <w:rsid w:val="62A768B8"/>
    <w:rsid w:val="62AF0FC4"/>
    <w:rsid w:val="632D5BB8"/>
    <w:rsid w:val="636C13BF"/>
    <w:rsid w:val="63AA35C3"/>
    <w:rsid w:val="63D1794F"/>
    <w:rsid w:val="63DE3CBD"/>
    <w:rsid w:val="64C574CA"/>
    <w:rsid w:val="64E57B6C"/>
    <w:rsid w:val="652E1747"/>
    <w:rsid w:val="65891DDF"/>
    <w:rsid w:val="65EE0CA2"/>
    <w:rsid w:val="66094F7F"/>
    <w:rsid w:val="66135F11"/>
    <w:rsid w:val="666F3EF2"/>
    <w:rsid w:val="66723681"/>
    <w:rsid w:val="66D9391D"/>
    <w:rsid w:val="6731258E"/>
    <w:rsid w:val="673812B4"/>
    <w:rsid w:val="673D77EB"/>
    <w:rsid w:val="67681E60"/>
    <w:rsid w:val="679C6F95"/>
    <w:rsid w:val="67EA26B3"/>
    <w:rsid w:val="67EB36EB"/>
    <w:rsid w:val="693B7B3E"/>
    <w:rsid w:val="69425EE9"/>
    <w:rsid w:val="69834548"/>
    <w:rsid w:val="69D5465E"/>
    <w:rsid w:val="69F43947"/>
    <w:rsid w:val="6A6E4160"/>
    <w:rsid w:val="6A723C50"/>
    <w:rsid w:val="6B056872"/>
    <w:rsid w:val="6B161B1A"/>
    <w:rsid w:val="6B291C2C"/>
    <w:rsid w:val="6D075EA5"/>
    <w:rsid w:val="6DB4632D"/>
    <w:rsid w:val="6E6F364D"/>
    <w:rsid w:val="6ED76777"/>
    <w:rsid w:val="6ED8604B"/>
    <w:rsid w:val="6FB83358"/>
    <w:rsid w:val="6FB97C2B"/>
    <w:rsid w:val="70643A4D"/>
    <w:rsid w:val="70746C2D"/>
    <w:rsid w:val="709B3670"/>
    <w:rsid w:val="70AE3508"/>
    <w:rsid w:val="70D80585"/>
    <w:rsid w:val="7128150C"/>
    <w:rsid w:val="71A768D5"/>
    <w:rsid w:val="71C31235"/>
    <w:rsid w:val="72040F3B"/>
    <w:rsid w:val="72563B15"/>
    <w:rsid w:val="72842772"/>
    <w:rsid w:val="72B327AB"/>
    <w:rsid w:val="735D321A"/>
    <w:rsid w:val="73677C34"/>
    <w:rsid w:val="736D299E"/>
    <w:rsid w:val="73A63685"/>
    <w:rsid w:val="73C44DF0"/>
    <w:rsid w:val="7476433D"/>
    <w:rsid w:val="74D6302D"/>
    <w:rsid w:val="760C6B6A"/>
    <w:rsid w:val="763C0177"/>
    <w:rsid w:val="76830F93"/>
    <w:rsid w:val="771C1FEB"/>
    <w:rsid w:val="77316C41"/>
    <w:rsid w:val="773D3837"/>
    <w:rsid w:val="775A25DC"/>
    <w:rsid w:val="78144598"/>
    <w:rsid w:val="7856695F"/>
    <w:rsid w:val="788A2003"/>
    <w:rsid w:val="78A956FD"/>
    <w:rsid w:val="78C23FF4"/>
    <w:rsid w:val="7A150601"/>
    <w:rsid w:val="7A27758C"/>
    <w:rsid w:val="7A915945"/>
    <w:rsid w:val="7AD63D87"/>
    <w:rsid w:val="7AFE36D4"/>
    <w:rsid w:val="7B780CA4"/>
    <w:rsid w:val="7C486637"/>
    <w:rsid w:val="7D295E93"/>
    <w:rsid w:val="7E002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autoRedefine/>
    <w:qFormat/>
    <w:uiPriority w:val="0"/>
    <w:pPr>
      <w:keepNext/>
      <w:keepLines/>
      <w:widowControl w:val="0"/>
      <w:spacing w:before="340" w:beforeLines="0" w:beforeAutospacing="0" w:after="330" w:afterLines="0" w:afterAutospacing="0" w:line="576" w:lineRule="auto"/>
      <w:jc w:val="both"/>
      <w:outlineLvl w:val="0"/>
    </w:pPr>
    <w:rPr>
      <w:rFonts w:ascii="Calibri" w:hAnsi="Calibri" w:eastAsia="宋体" w:cs="Times New Roman"/>
      <w:b/>
      <w:kern w:val="44"/>
      <w:sz w:val="44"/>
      <w:szCs w:val="24"/>
      <w:lang w:val="en-US" w:eastAsia="zh-CN" w:bidi="ar-SA"/>
    </w:rPr>
  </w:style>
  <w:style w:type="paragraph" w:styleId="5">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autoRedefine/>
    <w:qFormat/>
    <w:uiPriority w:val="99"/>
    <w:pPr>
      <w:ind w:firstLine="420" w:firstLineChars="100"/>
    </w:pPr>
  </w:style>
  <w:style w:type="paragraph" w:styleId="3">
    <w:name w:val="Body Text"/>
    <w:basedOn w:val="1"/>
    <w:next w:val="1"/>
    <w:autoRedefine/>
    <w:unhideWhenUsed/>
    <w:qFormat/>
    <w:uiPriority w:val="99"/>
    <w:pPr>
      <w:spacing w:after="120"/>
    </w:pPr>
  </w:style>
  <w:style w:type="paragraph" w:styleId="6">
    <w:name w:val="Normal Indent"/>
    <w:basedOn w:val="1"/>
    <w:autoRedefine/>
    <w:qFormat/>
    <w:uiPriority w:val="0"/>
    <w:pPr>
      <w:ind w:firstLine="420"/>
    </w:pPr>
    <w:rPr>
      <w:rFonts w:ascii="Times New Roman" w:hAnsi="Times New Roman" w:eastAsia="宋体" w:cs="Times New Roman"/>
      <w:szCs w:val="20"/>
    </w:rPr>
  </w:style>
  <w:style w:type="paragraph" w:styleId="7">
    <w:name w:val="footer"/>
    <w:basedOn w:val="1"/>
    <w:autoRedefine/>
    <w:qFormat/>
    <w:uiPriority w:val="99"/>
    <w:pPr>
      <w:tabs>
        <w:tab w:val="center" w:pos="4153"/>
        <w:tab w:val="right" w:pos="8306"/>
      </w:tabs>
      <w:snapToGrid w:val="0"/>
      <w:jc w:val="left"/>
    </w:pPr>
    <w:rPr>
      <w:rFonts w:eastAsia="宋体"/>
      <w:kern w:val="0"/>
      <w:sz w:val="18"/>
      <w:szCs w:val="18"/>
    </w:rPr>
  </w:style>
  <w:style w:type="paragraph" w:styleId="8">
    <w:name w:val="header"/>
    <w:basedOn w:val="1"/>
    <w:autoRedefine/>
    <w:qFormat/>
    <w:uiPriority w:val="99"/>
    <w:pPr>
      <w:pBdr>
        <w:bottom w:val="single" w:color="auto" w:sz="6" w:space="1"/>
      </w:pBdr>
      <w:tabs>
        <w:tab w:val="center" w:pos="4153"/>
        <w:tab w:val="right" w:pos="8306"/>
      </w:tabs>
      <w:snapToGrid w:val="0"/>
      <w:jc w:val="center"/>
    </w:pPr>
    <w:rPr>
      <w:rFonts w:eastAsia="宋体"/>
      <w:kern w:val="0"/>
      <w:sz w:val="18"/>
      <w:szCs w:val="18"/>
    </w:rPr>
  </w:style>
  <w:style w:type="paragraph" w:styleId="9">
    <w:name w:val="Body Text 2"/>
    <w:basedOn w:val="1"/>
    <w:qFormat/>
    <w:uiPriority w:val="0"/>
    <w:pPr>
      <w:snapToGrid w:val="0"/>
      <w:spacing w:line="493" w:lineRule="atLeast"/>
    </w:pPr>
    <w:rPr>
      <w:rFonts w:ascii="仿宋_GB2312" w:hAnsi="Times New Roman" w:eastAsia="仿宋_GB2312" w:cs="Times New Roman"/>
      <w:sz w:val="28"/>
      <w:szCs w:val="24"/>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Title"/>
    <w:next w:val="1"/>
    <w:autoRedefine/>
    <w:qFormat/>
    <w:uiPriority w:val="0"/>
    <w:pPr>
      <w:widowControl w:val="0"/>
      <w:spacing w:before="240" w:after="60"/>
      <w:jc w:val="center"/>
      <w:outlineLvl w:val="0"/>
    </w:pPr>
    <w:rPr>
      <w:rFonts w:ascii="Calibri Light" w:hAnsi="Calibri Light" w:eastAsia="仿宋_GB2312" w:cs="Times New Roman"/>
      <w:b/>
      <w:bCs/>
      <w:kern w:val="2"/>
      <w:sz w:val="32"/>
      <w:szCs w:val="32"/>
      <w:lang w:val="en-US" w:eastAsia="zh-CN" w:bidi="ar-SA"/>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paragraph" w:customStyle="1" w:styleId="16">
    <w:name w:val="首行缩进"/>
    <w:autoRedefine/>
    <w:qFormat/>
    <w:uiPriority w:val="0"/>
    <w:pPr>
      <w:widowControl w:val="0"/>
      <w:ind w:firstLine="420"/>
      <w:jc w:val="both"/>
    </w:pPr>
    <w:rPr>
      <w:rFonts w:ascii="宋体" w:hAnsi="宋体" w:eastAsia="宋体" w:cs="Times New Roman"/>
      <w:kern w:val="2"/>
      <w:sz w:val="21"/>
      <w:szCs w:val="24"/>
      <w:lang w:val="en-US" w:eastAsia="zh-CN" w:bidi="ar-SA"/>
    </w:rPr>
  </w:style>
  <w:style w:type="paragraph" w:customStyle="1" w:styleId="17">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8">
    <w:name w:val="内文"/>
    <w:basedOn w:val="1"/>
    <w:autoRedefine/>
    <w:qFormat/>
    <w:uiPriority w:val="0"/>
    <w:pPr>
      <w:spacing w:line="560" w:lineRule="exact"/>
      <w:ind w:firstLine="200" w:firstLineChars="200"/>
      <w:jc w:val="left"/>
    </w:pPr>
    <w:rPr>
      <w:rFonts w:ascii="宋体" w:hAnsi="宋体" w:eastAsia="宋体" w:cs="宋体"/>
      <w:kern w:val="0"/>
      <w:sz w:val="24"/>
      <w:szCs w:val="28"/>
    </w:rPr>
  </w:style>
  <w:style w:type="paragraph" w:customStyle="1" w:styleId="19">
    <w:name w:val="null3"/>
    <w:autoRedefine/>
    <w:hidden/>
    <w:qFormat/>
    <w:uiPriority w:val="0"/>
    <w:rPr>
      <w:rFonts w:hint="eastAsia" w:asciiTheme="minorHAnsi" w:hAnsiTheme="minorHAnsi" w:eastAsiaTheme="minorEastAsia" w:cstheme="minorBidi"/>
      <w:lang w:val="en-US" w:eastAsia="zh-Hans"/>
    </w:rPr>
  </w:style>
  <w:style w:type="character" w:customStyle="1" w:styleId="20">
    <w:name w:val="font61"/>
    <w:basedOn w:val="14"/>
    <w:autoRedefine/>
    <w:qFormat/>
    <w:uiPriority w:val="0"/>
    <w:rPr>
      <w:rFonts w:hint="eastAsia" w:ascii="宋体" w:hAnsi="宋体" w:eastAsia="宋体" w:cs="宋体"/>
      <w:color w:val="000000"/>
      <w:sz w:val="22"/>
      <w:szCs w:val="22"/>
      <w:u w:val="none"/>
    </w:rPr>
  </w:style>
  <w:style w:type="character" w:customStyle="1" w:styleId="21">
    <w:name w:val="font121"/>
    <w:basedOn w:val="14"/>
    <w:autoRedefine/>
    <w:qFormat/>
    <w:uiPriority w:val="0"/>
    <w:rPr>
      <w:rFonts w:ascii="MS Gothic" w:hAnsi="MS Gothic" w:eastAsia="MS Gothic" w:cs="MS Gothic"/>
      <w:color w:val="000000"/>
      <w:sz w:val="22"/>
      <w:szCs w:val="22"/>
      <w:u w:val="none"/>
    </w:rPr>
  </w:style>
  <w:style w:type="character" w:customStyle="1" w:styleId="22">
    <w:name w:val="font131"/>
    <w:basedOn w:val="14"/>
    <w:autoRedefine/>
    <w:qFormat/>
    <w:uiPriority w:val="0"/>
    <w:rPr>
      <w:rFonts w:hint="eastAsia" w:ascii="宋体" w:hAnsi="宋体" w:eastAsia="宋体" w:cs="宋体"/>
      <w:b/>
      <w:bCs/>
      <w:color w:val="000000"/>
      <w:sz w:val="22"/>
      <w:szCs w:val="22"/>
      <w:u w:val="none"/>
    </w:rPr>
  </w:style>
  <w:style w:type="paragraph" w:customStyle="1" w:styleId="23">
    <w:name w:val="HtmlNormal"/>
    <w:autoRedefine/>
    <w:qFormat/>
    <w:uiPriority w:val="0"/>
    <w:pPr>
      <w:widowControl/>
      <w:spacing w:before="100" w:beforeAutospacing="1" w:after="100" w:afterAutospacing="1"/>
      <w:jc w:val="left"/>
    </w:pPr>
    <w:rPr>
      <w:rFonts w:ascii="宋体" w:hAnsi="宋体" w:eastAsia="宋体" w:cs="Times New Roman"/>
      <w:kern w:val="0"/>
      <w:sz w:val="24"/>
      <w:szCs w:val="24"/>
      <w:lang w:val="en-US" w:eastAsia="zh-CN" w:bidi="ar-SA"/>
    </w:rPr>
  </w:style>
  <w:style w:type="character" w:customStyle="1" w:styleId="24">
    <w:name w:val="NormalCharacter"/>
    <w:autoRedefine/>
    <w:semiHidden/>
    <w:qFormat/>
    <w:uiPriority w:val="0"/>
  </w:style>
  <w:style w:type="paragraph" w:customStyle="1" w:styleId="25">
    <w:name w:val="BodyText"/>
    <w:basedOn w:val="1"/>
    <w:qFormat/>
    <w:uiPriority w:val="0"/>
    <w:pPr>
      <w:spacing w:line="38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7378</Words>
  <Characters>7938</Characters>
  <Lines>0</Lines>
  <Paragraphs>0</Paragraphs>
  <TotalTime>4</TotalTime>
  <ScaleCrop>false</ScaleCrop>
  <LinksUpToDate>false</LinksUpToDate>
  <CharactersWithSpaces>8212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2024-03-28T07:34:00Z</dcterms:created>
  <dc:creator>Administrator</dc:creator>
  <cp:lastModifiedBy>Administrator</cp:lastModifiedBy>
  <dcterms:modified xsi:type="dcterms:W3CDTF">2026-07-14T03:47:52Z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E9506C24359247B0A8F04167E122A194_13</vt:lpwstr>
  </property>
  <property fmtid="{D5CDD505-2E9C-101B-9397-08002B2CF9AE}" pid="4" name="KSOTemplateDocerSaveRecord">
    <vt:lpwstr>eyJoZGlkIjoiODJiYjdmMTQ3NjQ5ZTVhZWE3NDY4MTgzMzk0ZWQxNzkiLCJ1c2VySWQiOiI1OTI0MDE1MTEifQ==</vt:lpwstr>
  </property>
</Properties>
</file>